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3A" w:rsidRDefault="00712E3A" w:rsidP="00C46EB0">
      <w:pPr>
        <w:jc w:val="center"/>
        <w:rPr>
          <w:rFonts w:ascii="Times New Roman" w:hAnsi="Times New Roman" w:cs="Times New Roman"/>
          <w:sz w:val="24"/>
          <w:szCs w:val="24"/>
        </w:rPr>
      </w:pPr>
    </w:p>
    <w:p w:rsidR="00712E3A" w:rsidRDefault="00712E3A" w:rsidP="00C46EB0">
      <w:pPr>
        <w:jc w:val="center"/>
        <w:rPr>
          <w:rFonts w:ascii="Times New Roman" w:hAnsi="Times New Roman" w:cs="Times New Roman"/>
          <w:sz w:val="24"/>
          <w:szCs w:val="24"/>
        </w:rPr>
      </w:pPr>
    </w:p>
    <w:p w:rsidR="00C46EB0" w:rsidRPr="001062EB" w:rsidRDefault="00C46EB0" w:rsidP="00C46EB0">
      <w:pPr>
        <w:jc w:val="center"/>
        <w:rPr>
          <w:rFonts w:ascii="Times New Roman" w:hAnsi="Times New Roman" w:cs="Times New Roman"/>
          <w:sz w:val="24"/>
          <w:szCs w:val="24"/>
        </w:rPr>
      </w:pPr>
      <w:r w:rsidRPr="001062EB">
        <w:rPr>
          <w:rFonts w:ascii="Times New Roman" w:hAnsi="Times New Roman" w:cs="Times New Roman"/>
          <w:sz w:val="24"/>
          <w:szCs w:val="24"/>
        </w:rPr>
        <w:t>The Roots of Brazil’s Heavy Taxation</w:t>
      </w:r>
      <w:r>
        <w:rPr>
          <w:rStyle w:val="FootnoteReference"/>
          <w:rFonts w:ascii="Times New Roman" w:hAnsi="Times New Roman" w:cs="Times New Roman"/>
          <w:sz w:val="24"/>
          <w:szCs w:val="24"/>
        </w:rPr>
        <w:footnoteReference w:id="1"/>
      </w:r>
    </w:p>
    <w:p w:rsidR="00C46EB0" w:rsidRPr="001062EB" w:rsidRDefault="00C46EB0" w:rsidP="00C46EB0">
      <w:pPr>
        <w:jc w:val="center"/>
        <w:rPr>
          <w:rFonts w:ascii="Times New Roman" w:hAnsi="Times New Roman" w:cs="Times New Roman"/>
          <w:sz w:val="24"/>
          <w:szCs w:val="24"/>
        </w:rPr>
      </w:pPr>
      <w:r w:rsidRPr="001062EB">
        <w:rPr>
          <w:rFonts w:ascii="Times New Roman" w:hAnsi="Times New Roman" w:cs="Times New Roman"/>
          <w:sz w:val="24"/>
          <w:szCs w:val="24"/>
        </w:rPr>
        <w:t>Gabriel Ondetti</w:t>
      </w:r>
    </w:p>
    <w:p w:rsidR="00C46EB0" w:rsidRPr="001062EB" w:rsidRDefault="00C46EB0" w:rsidP="00C46EB0">
      <w:pPr>
        <w:jc w:val="center"/>
        <w:rPr>
          <w:rFonts w:ascii="Times New Roman" w:hAnsi="Times New Roman" w:cs="Times New Roman"/>
          <w:sz w:val="24"/>
          <w:szCs w:val="24"/>
        </w:rPr>
      </w:pPr>
      <w:r w:rsidRPr="001062EB">
        <w:rPr>
          <w:rFonts w:ascii="Times New Roman" w:hAnsi="Times New Roman" w:cs="Times New Roman"/>
          <w:sz w:val="24"/>
          <w:szCs w:val="24"/>
        </w:rPr>
        <w:t>Associate Professor</w:t>
      </w:r>
      <w:bookmarkStart w:id="0" w:name="_GoBack"/>
      <w:bookmarkEnd w:id="0"/>
    </w:p>
    <w:p w:rsidR="00C46EB0" w:rsidRPr="001062EB" w:rsidRDefault="00C46EB0" w:rsidP="00C46EB0">
      <w:pPr>
        <w:jc w:val="center"/>
        <w:rPr>
          <w:rFonts w:ascii="Times New Roman" w:hAnsi="Times New Roman" w:cs="Times New Roman"/>
          <w:sz w:val="24"/>
          <w:szCs w:val="24"/>
        </w:rPr>
      </w:pPr>
      <w:r w:rsidRPr="001062EB">
        <w:rPr>
          <w:rFonts w:ascii="Times New Roman" w:hAnsi="Times New Roman" w:cs="Times New Roman"/>
          <w:sz w:val="24"/>
          <w:szCs w:val="24"/>
        </w:rPr>
        <w:t>Department of Political Science</w:t>
      </w:r>
    </w:p>
    <w:p w:rsidR="00C46EB0" w:rsidRPr="001062EB" w:rsidRDefault="00C46EB0" w:rsidP="00C46EB0">
      <w:pPr>
        <w:jc w:val="center"/>
        <w:rPr>
          <w:rFonts w:ascii="Times New Roman" w:hAnsi="Times New Roman" w:cs="Times New Roman"/>
          <w:sz w:val="24"/>
          <w:szCs w:val="24"/>
        </w:rPr>
      </w:pPr>
      <w:r w:rsidRPr="001062EB">
        <w:rPr>
          <w:rFonts w:ascii="Times New Roman" w:hAnsi="Times New Roman" w:cs="Times New Roman"/>
          <w:sz w:val="24"/>
          <w:szCs w:val="24"/>
        </w:rPr>
        <w:t>Missouri State University</w:t>
      </w:r>
    </w:p>
    <w:p w:rsidR="00C46EB0" w:rsidRPr="001062EB" w:rsidRDefault="00C46EB0" w:rsidP="00C46EB0">
      <w:pPr>
        <w:jc w:val="center"/>
        <w:rPr>
          <w:rFonts w:ascii="Times New Roman" w:hAnsi="Times New Roman" w:cs="Times New Roman"/>
          <w:sz w:val="24"/>
          <w:szCs w:val="24"/>
        </w:rPr>
      </w:pPr>
      <w:hyperlink r:id="rId8" w:history="1">
        <w:r w:rsidRPr="001062EB">
          <w:rPr>
            <w:rStyle w:val="Hyperlink"/>
            <w:rFonts w:ascii="Times New Roman" w:hAnsi="Times New Roman" w:cs="Times New Roman"/>
            <w:sz w:val="24"/>
            <w:szCs w:val="24"/>
          </w:rPr>
          <w:t>gabrielondetti@missouristate.edu</w:t>
        </w:r>
      </w:hyperlink>
    </w:p>
    <w:p w:rsidR="00C46EB0" w:rsidRDefault="00C46EB0" w:rsidP="00C46EB0">
      <w:pPr>
        <w:spacing w:line="240" w:lineRule="auto"/>
        <w:jc w:val="center"/>
        <w:rPr>
          <w:rFonts w:ascii="Times New Roman" w:hAnsi="Times New Roman" w:cs="Times New Roman"/>
          <w:sz w:val="24"/>
          <w:szCs w:val="24"/>
        </w:rPr>
      </w:pPr>
    </w:p>
    <w:p w:rsidR="00712E3A" w:rsidRPr="00712E3A" w:rsidRDefault="00712E3A" w:rsidP="00C46EB0">
      <w:pPr>
        <w:spacing w:line="240" w:lineRule="auto"/>
        <w:jc w:val="center"/>
        <w:rPr>
          <w:rFonts w:ascii="Times New Roman" w:hAnsi="Times New Roman" w:cs="Times New Roman"/>
          <w:sz w:val="24"/>
          <w:szCs w:val="24"/>
          <w:u w:val="single"/>
        </w:rPr>
      </w:pPr>
      <w:r w:rsidRPr="00712E3A">
        <w:rPr>
          <w:rFonts w:ascii="Times New Roman" w:hAnsi="Times New Roman" w:cs="Times New Roman"/>
          <w:sz w:val="24"/>
          <w:szCs w:val="24"/>
          <w:u w:val="single"/>
        </w:rPr>
        <w:t>Abstract</w:t>
      </w:r>
    </w:p>
    <w:p w:rsidR="00C46EB0" w:rsidRPr="00CE7501" w:rsidRDefault="00C46EB0" w:rsidP="00C46EB0">
      <w:pPr>
        <w:spacing w:after="0" w:line="24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 xml:space="preserve">Latin America is widely known as </w:t>
      </w:r>
      <w:r>
        <w:rPr>
          <w:rFonts w:ascii="Times New Roman" w:hAnsi="Times New Roman" w:cs="Times New Roman"/>
          <w:sz w:val="24"/>
          <w:szCs w:val="24"/>
          <w:lang w:val="en-GB"/>
        </w:rPr>
        <w:t>a low-tax region, but Brazil</w:t>
      </w:r>
      <w:r w:rsidRPr="00D9330B">
        <w:rPr>
          <w:rFonts w:ascii="Times New Roman" w:hAnsi="Times New Roman" w:cs="Times New Roman"/>
          <w:sz w:val="24"/>
          <w:szCs w:val="24"/>
          <w:lang w:val="en-GB"/>
        </w:rPr>
        <w:t xml:space="preserve"> defies that des</w:t>
      </w:r>
      <w:r>
        <w:rPr>
          <w:rFonts w:ascii="Times New Roman" w:hAnsi="Times New Roman" w:cs="Times New Roman"/>
          <w:sz w:val="24"/>
          <w:szCs w:val="24"/>
          <w:lang w:val="en-GB"/>
        </w:rPr>
        <w:t>cription with a tax burden almost double the regional average. Though longstanding, Brazil’s position atop the tax burden ranking is not a historical constant.  As recently as the early 1950s three other countries, Argentina, Chile and Uruguay, had similar or even heavier burdens. However, by the early 1980s Brazil had emerged as the most heavily taxed country in Latin America, and subsequent decades reinforced that status. This article seeks to uncover the roots of Brazil’s heavy taxation by examining the process through which it rose to the top of the regional ranking and managed to stay there. It emphasises two variables, the social class bases of public sector growth and the degree of support for democracy among key political actors. Despite changing over time, these variables have consistently interacted in ways that favour rising taxation.</w:t>
      </w:r>
    </w:p>
    <w:p w:rsidR="00C46EB0" w:rsidRPr="00C46EB0" w:rsidRDefault="00C46EB0" w:rsidP="00C46EB0">
      <w:pPr>
        <w:jc w:val="center"/>
        <w:rPr>
          <w:rFonts w:ascii="Times New Roman" w:hAnsi="Times New Roman" w:cs="Times New Roman"/>
          <w:sz w:val="24"/>
          <w:szCs w:val="24"/>
          <w:lang w:val="en-GB"/>
        </w:rPr>
      </w:pPr>
    </w:p>
    <w:p w:rsidR="00C46EB0" w:rsidRDefault="00C46EB0" w:rsidP="00C46EB0">
      <w:pPr>
        <w:rPr>
          <w:rFonts w:ascii="Times New Roman" w:hAnsi="Times New Roman" w:cs="Times New Roman"/>
          <w:sz w:val="24"/>
          <w:szCs w:val="24"/>
        </w:rPr>
      </w:pPr>
    </w:p>
    <w:p w:rsidR="00C46EB0" w:rsidRPr="001062EB" w:rsidRDefault="00C46EB0" w:rsidP="00C46EB0">
      <w:pPr>
        <w:rPr>
          <w:rFonts w:ascii="Times New Roman" w:hAnsi="Times New Roman" w:cs="Times New Roman"/>
          <w:sz w:val="24"/>
          <w:szCs w:val="24"/>
        </w:rPr>
      </w:pPr>
    </w:p>
    <w:p w:rsidR="00712E3A" w:rsidRDefault="00712E3A" w:rsidP="00CE22D4">
      <w:pPr>
        <w:spacing w:after="0" w:line="480" w:lineRule="auto"/>
        <w:ind w:firstLine="720"/>
        <w:rPr>
          <w:rFonts w:ascii="Times New Roman" w:hAnsi="Times New Roman" w:cs="Times New Roman"/>
          <w:sz w:val="24"/>
          <w:szCs w:val="24"/>
          <w:lang w:val="en-GB"/>
        </w:rPr>
      </w:pPr>
    </w:p>
    <w:p w:rsidR="00712E3A" w:rsidRDefault="00712E3A" w:rsidP="00CE22D4">
      <w:pPr>
        <w:spacing w:after="0" w:line="480" w:lineRule="auto"/>
        <w:ind w:firstLine="720"/>
        <w:rPr>
          <w:rFonts w:ascii="Times New Roman" w:hAnsi="Times New Roman" w:cs="Times New Roman"/>
          <w:sz w:val="24"/>
          <w:szCs w:val="24"/>
          <w:lang w:val="en-GB"/>
        </w:rPr>
      </w:pPr>
    </w:p>
    <w:p w:rsidR="00712E3A" w:rsidRDefault="00712E3A" w:rsidP="00CE22D4">
      <w:pPr>
        <w:spacing w:after="0" w:line="480" w:lineRule="auto"/>
        <w:ind w:firstLine="720"/>
        <w:rPr>
          <w:rFonts w:ascii="Times New Roman" w:hAnsi="Times New Roman" w:cs="Times New Roman"/>
          <w:sz w:val="24"/>
          <w:szCs w:val="24"/>
          <w:lang w:val="en-GB"/>
        </w:rPr>
      </w:pPr>
    </w:p>
    <w:p w:rsidR="00CE22D4" w:rsidRPr="00D9330B" w:rsidRDefault="00A13785" w:rsidP="00CE22D4">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Latin America is widely known as a low-tax region but one country clear</w:t>
      </w:r>
      <w:r w:rsidR="002C4A70" w:rsidRPr="00D9330B">
        <w:rPr>
          <w:rFonts w:ascii="Times New Roman" w:hAnsi="Times New Roman" w:cs="Times New Roman"/>
          <w:sz w:val="24"/>
          <w:szCs w:val="24"/>
          <w:lang w:val="en-GB"/>
        </w:rPr>
        <w:t>ly</w:t>
      </w:r>
      <w:r w:rsidR="006F2FBD" w:rsidRPr="00D9330B">
        <w:rPr>
          <w:rFonts w:ascii="Times New Roman" w:hAnsi="Times New Roman" w:cs="Times New Roman"/>
          <w:sz w:val="24"/>
          <w:szCs w:val="24"/>
          <w:lang w:val="en-GB"/>
        </w:rPr>
        <w:t xml:space="preserve"> defies that </w:t>
      </w:r>
      <w:r w:rsidRPr="00D9330B">
        <w:rPr>
          <w:rFonts w:ascii="Times New Roman" w:hAnsi="Times New Roman" w:cs="Times New Roman"/>
          <w:sz w:val="24"/>
          <w:szCs w:val="24"/>
          <w:lang w:val="en-GB"/>
        </w:rPr>
        <w:t>des</w:t>
      </w:r>
      <w:r w:rsidR="009F6B73" w:rsidRPr="00D9330B">
        <w:rPr>
          <w:rFonts w:ascii="Times New Roman" w:hAnsi="Times New Roman" w:cs="Times New Roman"/>
          <w:sz w:val="24"/>
          <w:szCs w:val="24"/>
          <w:lang w:val="en-GB"/>
        </w:rPr>
        <w:t>cription. During the last five years</w:t>
      </w:r>
      <w:r w:rsidRPr="00D9330B">
        <w:rPr>
          <w:rFonts w:ascii="Times New Roman" w:hAnsi="Times New Roman" w:cs="Times New Roman"/>
          <w:sz w:val="24"/>
          <w:szCs w:val="24"/>
          <w:lang w:val="en-GB"/>
        </w:rPr>
        <w:t xml:space="preserve"> Brazil’s tax</w:t>
      </w:r>
      <w:r w:rsidR="00AE21BC" w:rsidRPr="00D9330B">
        <w:rPr>
          <w:rFonts w:ascii="Times New Roman" w:hAnsi="Times New Roman" w:cs="Times New Roman"/>
          <w:sz w:val="24"/>
          <w:szCs w:val="24"/>
          <w:lang w:val="en-GB"/>
        </w:rPr>
        <w:t xml:space="preserve"> rev</w:t>
      </w:r>
      <w:r w:rsidR="00F03B53" w:rsidRPr="00D9330B">
        <w:rPr>
          <w:rFonts w:ascii="Times New Roman" w:hAnsi="Times New Roman" w:cs="Times New Roman"/>
          <w:sz w:val="24"/>
          <w:szCs w:val="24"/>
          <w:lang w:val="en-GB"/>
        </w:rPr>
        <w:t>enues have averaged almost 34</w:t>
      </w:r>
      <w:r w:rsidRPr="00D9330B">
        <w:rPr>
          <w:rFonts w:ascii="Times New Roman" w:hAnsi="Times New Roman" w:cs="Times New Roman"/>
          <w:sz w:val="24"/>
          <w:szCs w:val="24"/>
          <w:lang w:val="en-GB"/>
        </w:rPr>
        <w:t xml:space="preserve"> per cent of gross d</w:t>
      </w:r>
      <w:r w:rsidR="00A86909" w:rsidRPr="00D9330B">
        <w:rPr>
          <w:rFonts w:ascii="Times New Roman" w:hAnsi="Times New Roman" w:cs="Times New Roman"/>
          <w:sz w:val="24"/>
          <w:szCs w:val="24"/>
          <w:lang w:val="en-GB"/>
        </w:rPr>
        <w:t>omestic product (GDP), a figure</w:t>
      </w:r>
      <w:r w:rsidR="00EC1543" w:rsidRPr="00D9330B">
        <w:rPr>
          <w:rFonts w:ascii="Times New Roman" w:hAnsi="Times New Roman" w:cs="Times New Roman"/>
          <w:sz w:val="24"/>
          <w:szCs w:val="24"/>
          <w:lang w:val="en-GB"/>
        </w:rPr>
        <w:t xml:space="preserve"> nearly</w:t>
      </w:r>
      <w:r w:rsidR="00A86909" w:rsidRPr="00D9330B">
        <w:rPr>
          <w:rFonts w:ascii="Times New Roman" w:hAnsi="Times New Roman" w:cs="Times New Roman"/>
          <w:sz w:val="24"/>
          <w:szCs w:val="24"/>
          <w:lang w:val="en-GB"/>
        </w:rPr>
        <w:t xml:space="preserve"> identical to the</w:t>
      </w:r>
      <w:r w:rsidRPr="00D9330B">
        <w:rPr>
          <w:rFonts w:ascii="Times New Roman" w:hAnsi="Times New Roman" w:cs="Times New Roman"/>
          <w:sz w:val="24"/>
          <w:szCs w:val="24"/>
          <w:lang w:val="en-GB"/>
        </w:rPr>
        <w:t xml:space="preserve"> average for the generally much </w:t>
      </w:r>
      <w:r w:rsidR="00A86909" w:rsidRPr="00D9330B">
        <w:rPr>
          <w:rFonts w:ascii="Times New Roman" w:hAnsi="Times New Roman" w:cs="Times New Roman"/>
          <w:sz w:val="24"/>
          <w:szCs w:val="24"/>
          <w:lang w:val="en-GB"/>
        </w:rPr>
        <w:t>wealthier countries that comprise</w:t>
      </w:r>
      <w:r w:rsidRPr="00D9330B">
        <w:rPr>
          <w:rFonts w:ascii="Times New Roman" w:hAnsi="Times New Roman" w:cs="Times New Roman"/>
          <w:sz w:val="24"/>
          <w:szCs w:val="24"/>
          <w:lang w:val="en-GB"/>
        </w:rPr>
        <w:t xml:space="preserve"> the Organisation for Economic Co</w:t>
      </w:r>
      <w:r w:rsidR="00434112" w:rsidRPr="00D9330B">
        <w:rPr>
          <w:rFonts w:ascii="Times New Roman" w:hAnsi="Times New Roman" w:cs="Times New Roman"/>
          <w:sz w:val="24"/>
          <w:szCs w:val="24"/>
          <w:lang w:val="en-GB"/>
        </w:rPr>
        <w:t>operation and Development</w:t>
      </w:r>
      <w:r w:rsidR="00367DCF" w:rsidRPr="00D9330B">
        <w:rPr>
          <w:rFonts w:ascii="Times New Roman" w:hAnsi="Times New Roman" w:cs="Times New Roman"/>
          <w:sz w:val="24"/>
          <w:szCs w:val="24"/>
          <w:lang w:val="en-GB"/>
        </w:rPr>
        <w:t xml:space="preserve"> (OECD)</w:t>
      </w:r>
      <w:r w:rsidRPr="00D9330B">
        <w:rPr>
          <w:rFonts w:ascii="Times New Roman" w:hAnsi="Times New Roman" w:cs="Times New Roman"/>
          <w:sz w:val="24"/>
          <w:szCs w:val="24"/>
          <w:lang w:val="en-GB"/>
        </w:rPr>
        <w:t>.</w:t>
      </w:r>
      <w:r w:rsidRPr="00D9330B">
        <w:rPr>
          <w:rFonts w:ascii="Times New Roman" w:hAnsi="Times New Roman" w:cs="Times New Roman"/>
          <w:sz w:val="24"/>
          <w:szCs w:val="24"/>
          <w:vertAlign w:val="superscript"/>
          <w:lang w:val="en-GB"/>
        </w:rPr>
        <w:footnoteReference w:id="2"/>
      </w:r>
      <w:r w:rsidRPr="00D9330B">
        <w:rPr>
          <w:rFonts w:ascii="Times New Roman" w:hAnsi="Times New Roman" w:cs="Times New Roman"/>
          <w:sz w:val="24"/>
          <w:szCs w:val="24"/>
          <w:lang w:val="en-GB"/>
        </w:rPr>
        <w:t xml:space="preserve"> Within Latin America,</w:t>
      </w:r>
      <w:r w:rsidR="00145A0F" w:rsidRPr="00D9330B">
        <w:rPr>
          <w:rFonts w:ascii="Times New Roman" w:hAnsi="Times New Roman" w:cs="Times New Roman"/>
          <w:sz w:val="24"/>
          <w:szCs w:val="24"/>
          <w:lang w:val="en-GB"/>
        </w:rPr>
        <w:t xml:space="preserve"> Brazil is ‘an extreme outlier’,</w:t>
      </w:r>
      <w:r w:rsidR="00AE6B74" w:rsidRPr="00D9330B">
        <w:rPr>
          <w:rFonts w:ascii="Times New Roman" w:hAnsi="Times New Roman" w:cs="Times New Roman"/>
          <w:sz w:val="24"/>
          <w:szCs w:val="24"/>
          <w:vertAlign w:val="superscript"/>
          <w:lang w:val="en-GB"/>
        </w:rPr>
        <w:footnoteReference w:id="3"/>
      </w:r>
      <w:r w:rsidR="00F0793A"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 xml:space="preserve">with a tax burden </w:t>
      </w:r>
      <w:r w:rsidR="00150DE5" w:rsidRPr="00D9330B">
        <w:rPr>
          <w:rFonts w:ascii="Times New Roman" w:hAnsi="Times New Roman" w:cs="Times New Roman"/>
          <w:sz w:val="24"/>
          <w:szCs w:val="24"/>
          <w:lang w:val="en-GB"/>
        </w:rPr>
        <w:t>almost</w:t>
      </w:r>
      <w:r w:rsidRPr="00D9330B">
        <w:rPr>
          <w:rFonts w:ascii="Times New Roman" w:hAnsi="Times New Roman" w:cs="Times New Roman"/>
          <w:sz w:val="24"/>
          <w:szCs w:val="24"/>
          <w:lang w:val="en-GB"/>
        </w:rPr>
        <w:t xml:space="preserve"> double the </w:t>
      </w:r>
      <w:r w:rsidR="0089699E" w:rsidRPr="00D9330B">
        <w:rPr>
          <w:rFonts w:ascii="Times New Roman" w:hAnsi="Times New Roman" w:cs="Times New Roman"/>
          <w:sz w:val="24"/>
          <w:szCs w:val="24"/>
          <w:lang w:val="en-GB"/>
        </w:rPr>
        <w:t>r</w:t>
      </w:r>
      <w:r w:rsidRPr="00D9330B">
        <w:rPr>
          <w:rFonts w:ascii="Times New Roman" w:hAnsi="Times New Roman" w:cs="Times New Roman"/>
          <w:sz w:val="24"/>
          <w:szCs w:val="24"/>
          <w:lang w:val="en-GB"/>
        </w:rPr>
        <w:t>egional average</w:t>
      </w:r>
      <w:r w:rsidR="00606311" w:rsidRPr="00D9330B">
        <w:rPr>
          <w:rFonts w:ascii="Times New Roman" w:hAnsi="Times New Roman" w:cs="Times New Roman"/>
          <w:sz w:val="24"/>
          <w:szCs w:val="24"/>
          <w:lang w:val="en-GB"/>
        </w:rPr>
        <w:t xml:space="preserve"> and </w:t>
      </w:r>
      <w:r w:rsidR="00EC1543" w:rsidRPr="00D9330B">
        <w:rPr>
          <w:rFonts w:ascii="Times New Roman" w:hAnsi="Times New Roman" w:cs="Times New Roman"/>
          <w:sz w:val="24"/>
          <w:szCs w:val="24"/>
          <w:lang w:val="en-GB"/>
        </w:rPr>
        <w:t>close to</w:t>
      </w:r>
      <w:r w:rsidR="00606311" w:rsidRPr="00D9330B">
        <w:rPr>
          <w:rFonts w:ascii="Times New Roman" w:hAnsi="Times New Roman" w:cs="Times New Roman"/>
          <w:sz w:val="24"/>
          <w:szCs w:val="24"/>
          <w:lang w:val="en-GB"/>
        </w:rPr>
        <w:t xml:space="preserve"> a fifth</w:t>
      </w:r>
      <w:r w:rsidR="00150DE5" w:rsidRPr="00D9330B">
        <w:rPr>
          <w:rFonts w:ascii="Times New Roman" w:hAnsi="Times New Roman" w:cs="Times New Roman"/>
          <w:sz w:val="24"/>
          <w:szCs w:val="24"/>
          <w:lang w:val="en-GB"/>
        </w:rPr>
        <w:t xml:space="preserve"> larger</w:t>
      </w:r>
      <w:r w:rsidR="00AE6B74" w:rsidRPr="00D9330B">
        <w:rPr>
          <w:rFonts w:ascii="Times New Roman" w:hAnsi="Times New Roman" w:cs="Times New Roman"/>
          <w:sz w:val="24"/>
          <w:szCs w:val="24"/>
          <w:lang w:val="en-GB"/>
        </w:rPr>
        <w:t xml:space="preserve"> than that of the next country</w:t>
      </w:r>
      <w:r w:rsidR="001C58D3" w:rsidRPr="00D9330B">
        <w:rPr>
          <w:rFonts w:ascii="Times New Roman" w:hAnsi="Times New Roman" w:cs="Times New Roman"/>
          <w:sz w:val="24"/>
          <w:szCs w:val="24"/>
          <w:lang w:val="en-GB"/>
        </w:rPr>
        <w:t>.</w:t>
      </w:r>
      <w:r w:rsidRPr="00D9330B">
        <w:rPr>
          <w:rFonts w:ascii="Times New Roman" w:hAnsi="Times New Roman" w:cs="Times New Roman"/>
          <w:sz w:val="24"/>
          <w:szCs w:val="24"/>
          <w:lang w:val="en-GB"/>
        </w:rPr>
        <w:t xml:space="preserve"> </w:t>
      </w:r>
      <w:r w:rsidR="00D45FE4" w:rsidRPr="00D9330B">
        <w:rPr>
          <w:rFonts w:ascii="Times New Roman" w:hAnsi="Times New Roman" w:cs="Times New Roman"/>
          <w:sz w:val="24"/>
          <w:szCs w:val="24"/>
          <w:lang w:val="en-GB"/>
        </w:rPr>
        <w:t>This article seeks to uncover</w:t>
      </w:r>
      <w:r w:rsidR="00AE6B74" w:rsidRPr="00D9330B">
        <w:rPr>
          <w:rFonts w:ascii="Times New Roman" w:hAnsi="Times New Roman" w:cs="Times New Roman"/>
          <w:sz w:val="24"/>
          <w:szCs w:val="24"/>
          <w:lang w:val="en-GB"/>
        </w:rPr>
        <w:t xml:space="preserve"> the roots of this anomalously heavy</w:t>
      </w:r>
      <w:r w:rsidR="00B20690" w:rsidRPr="00D9330B">
        <w:rPr>
          <w:rFonts w:ascii="Times New Roman" w:hAnsi="Times New Roman" w:cs="Times New Roman"/>
          <w:sz w:val="24"/>
          <w:szCs w:val="24"/>
          <w:lang w:val="en-GB"/>
        </w:rPr>
        <w:t xml:space="preserve"> tax burden.</w:t>
      </w:r>
      <w:r w:rsidR="00713A2D" w:rsidRPr="00D9330B">
        <w:rPr>
          <w:rStyle w:val="FootnoteReference"/>
          <w:rFonts w:ascii="Times New Roman" w:hAnsi="Times New Roman" w:cs="Times New Roman"/>
          <w:sz w:val="24"/>
          <w:szCs w:val="24"/>
          <w:lang w:val="en-GB"/>
        </w:rPr>
        <w:footnoteReference w:id="4"/>
      </w:r>
    </w:p>
    <w:p w:rsidR="00916021" w:rsidRDefault="00923C15" w:rsidP="003E606A">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w:t>
      </w:r>
      <w:r w:rsidR="003E606A" w:rsidRPr="00D9330B">
        <w:rPr>
          <w:rFonts w:ascii="Times New Roman" w:hAnsi="Times New Roman" w:cs="Times New Roman"/>
          <w:sz w:val="24"/>
          <w:szCs w:val="24"/>
          <w:lang w:val="en-GB"/>
        </w:rPr>
        <w:t>heories of</w:t>
      </w:r>
      <w:r w:rsidR="002C4A70" w:rsidRPr="00D9330B">
        <w:rPr>
          <w:rFonts w:ascii="Times New Roman" w:hAnsi="Times New Roman" w:cs="Times New Roman"/>
          <w:sz w:val="24"/>
          <w:szCs w:val="24"/>
          <w:lang w:val="en-GB"/>
        </w:rPr>
        <w:t xml:space="preserve"> taxation</w:t>
      </w:r>
      <w:r>
        <w:rPr>
          <w:rFonts w:ascii="Times New Roman" w:hAnsi="Times New Roman" w:cs="Times New Roman"/>
          <w:sz w:val="24"/>
          <w:szCs w:val="24"/>
          <w:lang w:val="en-GB"/>
        </w:rPr>
        <w:t>, as discussed</w:t>
      </w:r>
      <w:r w:rsidR="00FC2B01">
        <w:rPr>
          <w:rFonts w:ascii="Times New Roman" w:hAnsi="Times New Roman" w:cs="Times New Roman"/>
          <w:sz w:val="24"/>
          <w:szCs w:val="24"/>
          <w:lang w:val="en-GB"/>
        </w:rPr>
        <w:t xml:space="preserve"> further</w:t>
      </w:r>
      <w:r>
        <w:rPr>
          <w:rFonts w:ascii="Times New Roman" w:hAnsi="Times New Roman" w:cs="Times New Roman"/>
          <w:sz w:val="24"/>
          <w:szCs w:val="24"/>
          <w:lang w:val="en-GB"/>
        </w:rPr>
        <w:t xml:space="preserve"> below,</w:t>
      </w:r>
      <w:r w:rsidR="000D3DD2">
        <w:rPr>
          <w:rFonts w:ascii="Times New Roman" w:hAnsi="Times New Roman" w:cs="Times New Roman"/>
          <w:sz w:val="24"/>
          <w:szCs w:val="24"/>
          <w:lang w:val="en-GB"/>
        </w:rPr>
        <w:t xml:space="preserve"> generally provide little</w:t>
      </w:r>
      <w:r w:rsidR="003E606A" w:rsidRPr="00D9330B">
        <w:rPr>
          <w:rFonts w:ascii="Times New Roman" w:hAnsi="Times New Roman" w:cs="Times New Roman"/>
          <w:sz w:val="24"/>
          <w:szCs w:val="24"/>
          <w:lang w:val="en-GB"/>
        </w:rPr>
        <w:t xml:space="preserve"> </w:t>
      </w:r>
      <w:r w:rsidR="008068AE" w:rsidRPr="00D9330B">
        <w:rPr>
          <w:rFonts w:ascii="Times New Roman" w:hAnsi="Times New Roman" w:cs="Times New Roman"/>
          <w:sz w:val="24"/>
          <w:szCs w:val="24"/>
          <w:lang w:val="en-GB"/>
        </w:rPr>
        <w:t>insight into this</w:t>
      </w:r>
      <w:r w:rsidR="00792993" w:rsidRPr="00D9330B">
        <w:rPr>
          <w:rFonts w:ascii="Times New Roman" w:hAnsi="Times New Roman" w:cs="Times New Roman"/>
          <w:sz w:val="24"/>
          <w:szCs w:val="24"/>
          <w:lang w:val="en-GB"/>
        </w:rPr>
        <w:t xml:space="preserve"> puzzle</w:t>
      </w:r>
      <w:r w:rsidR="003E606A" w:rsidRPr="00D9330B">
        <w:rPr>
          <w:rFonts w:ascii="Times New Roman" w:hAnsi="Times New Roman" w:cs="Times New Roman"/>
          <w:sz w:val="24"/>
          <w:szCs w:val="24"/>
          <w:lang w:val="en-GB"/>
        </w:rPr>
        <w:t>.</w:t>
      </w:r>
      <w:r w:rsidR="000D3DD2">
        <w:rPr>
          <w:rFonts w:ascii="Times New Roman" w:hAnsi="Times New Roman" w:cs="Times New Roman"/>
          <w:sz w:val="24"/>
          <w:szCs w:val="24"/>
          <w:lang w:val="en-GB"/>
        </w:rPr>
        <w:t xml:space="preserve"> One</w:t>
      </w:r>
      <w:r w:rsidR="00FC2B01">
        <w:rPr>
          <w:rFonts w:ascii="Times New Roman" w:hAnsi="Times New Roman" w:cs="Times New Roman"/>
          <w:sz w:val="24"/>
          <w:szCs w:val="24"/>
          <w:lang w:val="en-GB"/>
        </w:rPr>
        <w:t xml:space="preserve"> exception is the work</w:t>
      </w:r>
      <w:r w:rsidR="00F9704A">
        <w:rPr>
          <w:rFonts w:ascii="Times New Roman" w:hAnsi="Times New Roman" w:cs="Times New Roman"/>
          <w:sz w:val="24"/>
          <w:szCs w:val="24"/>
          <w:lang w:val="en-GB"/>
        </w:rPr>
        <w:t xml:space="preserve"> on the political economy of natural resources, </w:t>
      </w:r>
      <w:r>
        <w:rPr>
          <w:rFonts w:ascii="Times New Roman" w:hAnsi="Times New Roman" w:cs="Times New Roman"/>
          <w:sz w:val="24"/>
          <w:szCs w:val="24"/>
          <w:lang w:val="en-GB"/>
        </w:rPr>
        <w:t>which</w:t>
      </w:r>
      <w:r w:rsidR="001F3022">
        <w:rPr>
          <w:rFonts w:ascii="Times New Roman" w:hAnsi="Times New Roman" w:cs="Times New Roman"/>
          <w:sz w:val="24"/>
          <w:szCs w:val="24"/>
          <w:lang w:val="en-GB"/>
        </w:rPr>
        <w:t xml:space="preserve"> draws attention to</w:t>
      </w:r>
      <w:r w:rsidR="00F9704A">
        <w:rPr>
          <w:rFonts w:ascii="Times New Roman" w:hAnsi="Times New Roman" w:cs="Times New Roman"/>
          <w:sz w:val="24"/>
          <w:szCs w:val="24"/>
          <w:lang w:val="en-GB"/>
        </w:rPr>
        <w:t xml:space="preserve"> the fact that Brazil’s resource rents are smaller than </w:t>
      </w:r>
      <w:r w:rsidR="001F3022">
        <w:rPr>
          <w:rFonts w:ascii="Times New Roman" w:hAnsi="Times New Roman" w:cs="Times New Roman"/>
          <w:sz w:val="24"/>
          <w:szCs w:val="24"/>
          <w:lang w:val="en-GB"/>
        </w:rPr>
        <w:t>those of some of its neighbours, obligating it to</w:t>
      </w:r>
      <w:r>
        <w:rPr>
          <w:rFonts w:ascii="Times New Roman" w:hAnsi="Times New Roman" w:cs="Times New Roman"/>
          <w:sz w:val="24"/>
          <w:szCs w:val="24"/>
          <w:lang w:val="en-GB"/>
        </w:rPr>
        <w:t xml:space="preserve"> rely more</w:t>
      </w:r>
      <w:r w:rsidR="00F9704A">
        <w:rPr>
          <w:rFonts w:ascii="Times New Roman" w:hAnsi="Times New Roman" w:cs="Times New Roman"/>
          <w:sz w:val="24"/>
          <w:szCs w:val="24"/>
          <w:lang w:val="en-GB"/>
        </w:rPr>
        <w:t xml:space="preserve"> on </w:t>
      </w:r>
      <w:r w:rsidR="000D3DD2">
        <w:rPr>
          <w:rFonts w:ascii="Times New Roman" w:hAnsi="Times New Roman" w:cs="Times New Roman"/>
          <w:sz w:val="24"/>
          <w:szCs w:val="24"/>
          <w:lang w:val="en-GB"/>
        </w:rPr>
        <w:t>taxation. However,</w:t>
      </w:r>
      <w:r w:rsidR="00F9704A">
        <w:rPr>
          <w:rFonts w:ascii="Times New Roman" w:hAnsi="Times New Roman" w:cs="Times New Roman"/>
          <w:sz w:val="24"/>
          <w:szCs w:val="24"/>
          <w:lang w:val="en-GB"/>
        </w:rPr>
        <w:t xml:space="preserve"> Brazil’s total fiscal revenues, including tax and </w:t>
      </w:r>
      <w:r w:rsidR="00F9704A">
        <w:rPr>
          <w:rFonts w:ascii="Times New Roman" w:hAnsi="Times New Roman" w:cs="Times New Roman"/>
          <w:sz w:val="24"/>
          <w:szCs w:val="24"/>
          <w:lang w:val="en-GB"/>
        </w:rPr>
        <w:lastRenderedPageBreak/>
        <w:t xml:space="preserve">non-tax sources, are </w:t>
      </w:r>
      <w:r>
        <w:rPr>
          <w:rFonts w:ascii="Times New Roman" w:hAnsi="Times New Roman" w:cs="Times New Roman"/>
          <w:sz w:val="24"/>
          <w:szCs w:val="24"/>
          <w:lang w:val="en-GB"/>
        </w:rPr>
        <w:t xml:space="preserve">also </w:t>
      </w:r>
      <w:r w:rsidR="00F9704A">
        <w:rPr>
          <w:rFonts w:ascii="Times New Roman" w:hAnsi="Times New Roman" w:cs="Times New Roman"/>
          <w:sz w:val="24"/>
          <w:szCs w:val="24"/>
          <w:lang w:val="en-GB"/>
        </w:rPr>
        <w:t>easily the highest in the region</w:t>
      </w:r>
      <w:r w:rsidR="000D3DD2">
        <w:rPr>
          <w:rFonts w:ascii="Times New Roman" w:hAnsi="Times New Roman" w:cs="Times New Roman"/>
          <w:sz w:val="24"/>
          <w:szCs w:val="24"/>
          <w:lang w:val="en-GB"/>
        </w:rPr>
        <w:t>, which</w:t>
      </w:r>
      <w:r w:rsidR="00F9704A">
        <w:rPr>
          <w:rFonts w:ascii="Times New Roman" w:hAnsi="Times New Roman" w:cs="Times New Roman"/>
          <w:sz w:val="24"/>
          <w:szCs w:val="24"/>
          <w:lang w:val="en-GB"/>
        </w:rPr>
        <w:t xml:space="preserve"> suggests that this is </w:t>
      </w:r>
      <w:r w:rsidR="00CF180A">
        <w:rPr>
          <w:rFonts w:ascii="Times New Roman" w:hAnsi="Times New Roman" w:cs="Times New Roman"/>
          <w:sz w:val="24"/>
          <w:szCs w:val="24"/>
          <w:lang w:val="en-GB"/>
        </w:rPr>
        <w:t xml:space="preserve">only </w:t>
      </w:r>
      <w:r w:rsidR="00FC2B01">
        <w:rPr>
          <w:rFonts w:ascii="Times New Roman" w:hAnsi="Times New Roman" w:cs="Times New Roman"/>
          <w:sz w:val="24"/>
          <w:szCs w:val="24"/>
          <w:lang w:val="en-GB"/>
        </w:rPr>
        <w:t>a</w:t>
      </w:r>
      <w:r w:rsidR="000C5CD6">
        <w:rPr>
          <w:rFonts w:ascii="Times New Roman" w:hAnsi="Times New Roman" w:cs="Times New Roman"/>
          <w:sz w:val="24"/>
          <w:szCs w:val="24"/>
          <w:lang w:val="en-GB"/>
        </w:rPr>
        <w:t xml:space="preserve"> very</w:t>
      </w:r>
      <w:r w:rsidR="00F9704A">
        <w:rPr>
          <w:rFonts w:ascii="Times New Roman" w:hAnsi="Times New Roman" w:cs="Times New Roman"/>
          <w:sz w:val="24"/>
          <w:szCs w:val="24"/>
          <w:lang w:val="en-GB"/>
        </w:rPr>
        <w:t xml:space="preserve"> partial explanation.</w:t>
      </w:r>
      <w:r w:rsidR="00FC2B01">
        <w:rPr>
          <w:rFonts w:ascii="Times New Roman" w:hAnsi="Times New Roman" w:cs="Times New Roman"/>
          <w:sz w:val="24"/>
          <w:szCs w:val="24"/>
          <w:lang w:val="en-GB"/>
        </w:rPr>
        <w:t xml:space="preserve"> Likewise, t</w:t>
      </w:r>
      <w:r w:rsidR="00CF180A">
        <w:rPr>
          <w:rFonts w:ascii="Times New Roman" w:hAnsi="Times New Roman" w:cs="Times New Roman"/>
          <w:sz w:val="24"/>
          <w:szCs w:val="24"/>
          <w:lang w:val="en-GB"/>
        </w:rPr>
        <w:t>heories that stress</w:t>
      </w:r>
      <w:r w:rsidR="00F9704A">
        <w:rPr>
          <w:rFonts w:ascii="Times New Roman" w:hAnsi="Times New Roman" w:cs="Times New Roman"/>
          <w:sz w:val="24"/>
          <w:szCs w:val="24"/>
          <w:lang w:val="en-GB"/>
        </w:rPr>
        <w:t xml:space="preserve"> the influence of particul</w:t>
      </w:r>
      <w:r>
        <w:rPr>
          <w:rFonts w:ascii="Times New Roman" w:hAnsi="Times New Roman" w:cs="Times New Roman"/>
          <w:sz w:val="24"/>
          <w:szCs w:val="24"/>
          <w:lang w:val="en-GB"/>
        </w:rPr>
        <w:t>ar collective</w:t>
      </w:r>
      <w:r w:rsidR="00F9704A">
        <w:rPr>
          <w:rFonts w:ascii="Times New Roman" w:hAnsi="Times New Roman" w:cs="Times New Roman"/>
          <w:sz w:val="24"/>
          <w:szCs w:val="24"/>
          <w:lang w:val="en-GB"/>
        </w:rPr>
        <w:t xml:space="preserve"> actors</w:t>
      </w:r>
      <w:r w:rsidR="00CF180A">
        <w:rPr>
          <w:rFonts w:ascii="Times New Roman" w:hAnsi="Times New Roman" w:cs="Times New Roman"/>
          <w:sz w:val="24"/>
          <w:szCs w:val="24"/>
          <w:lang w:val="en-GB"/>
        </w:rPr>
        <w:t>,</w:t>
      </w:r>
      <w:r w:rsidR="000D3DD2">
        <w:rPr>
          <w:rFonts w:ascii="Times New Roman" w:hAnsi="Times New Roman" w:cs="Times New Roman"/>
          <w:sz w:val="24"/>
          <w:szCs w:val="24"/>
          <w:lang w:val="en-GB"/>
        </w:rPr>
        <w:t xml:space="preserve"> </w:t>
      </w:r>
      <w:r w:rsidR="000C5CD6">
        <w:rPr>
          <w:rFonts w:ascii="Times New Roman" w:hAnsi="Times New Roman" w:cs="Times New Roman"/>
          <w:sz w:val="24"/>
          <w:szCs w:val="24"/>
          <w:lang w:val="en-GB"/>
        </w:rPr>
        <w:t>especially business or</w:t>
      </w:r>
      <w:r w:rsidR="00907922">
        <w:rPr>
          <w:rFonts w:ascii="Times New Roman" w:hAnsi="Times New Roman" w:cs="Times New Roman"/>
          <w:sz w:val="24"/>
          <w:szCs w:val="24"/>
          <w:lang w:val="en-GB"/>
        </w:rPr>
        <w:t xml:space="preserve"> organised</w:t>
      </w:r>
      <w:r>
        <w:rPr>
          <w:rFonts w:ascii="Times New Roman" w:hAnsi="Times New Roman" w:cs="Times New Roman"/>
          <w:sz w:val="24"/>
          <w:szCs w:val="24"/>
          <w:lang w:val="en-GB"/>
        </w:rPr>
        <w:t xml:space="preserve"> l</w:t>
      </w:r>
      <w:r w:rsidR="00907922">
        <w:rPr>
          <w:rFonts w:ascii="Times New Roman" w:hAnsi="Times New Roman" w:cs="Times New Roman"/>
          <w:sz w:val="24"/>
          <w:szCs w:val="24"/>
          <w:lang w:val="en-GB"/>
        </w:rPr>
        <w:t>abour</w:t>
      </w:r>
      <w:r w:rsidR="000C5CD6">
        <w:rPr>
          <w:rFonts w:ascii="Times New Roman" w:hAnsi="Times New Roman" w:cs="Times New Roman"/>
          <w:sz w:val="24"/>
          <w:szCs w:val="24"/>
          <w:lang w:val="en-GB"/>
        </w:rPr>
        <w:t xml:space="preserve"> and</w:t>
      </w:r>
      <w:r w:rsidR="000D3DD2">
        <w:rPr>
          <w:rFonts w:ascii="Times New Roman" w:hAnsi="Times New Roman" w:cs="Times New Roman"/>
          <w:sz w:val="24"/>
          <w:szCs w:val="24"/>
          <w:lang w:val="en-GB"/>
        </w:rPr>
        <w:t xml:space="preserve"> labour-based parties</w:t>
      </w:r>
      <w:r>
        <w:rPr>
          <w:rFonts w:ascii="Times New Roman" w:hAnsi="Times New Roman" w:cs="Times New Roman"/>
          <w:sz w:val="24"/>
          <w:szCs w:val="24"/>
          <w:lang w:val="en-GB"/>
        </w:rPr>
        <w:t>, illuminate certain aspects of the Brazilian case but ignore or obscure others.</w:t>
      </w:r>
    </w:p>
    <w:p w:rsidR="00D55981" w:rsidRPr="00D9330B" w:rsidRDefault="003E606A" w:rsidP="00C67B97">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w:t>
      </w:r>
      <w:r w:rsidR="00C67B97" w:rsidRPr="00D9330B">
        <w:rPr>
          <w:rFonts w:ascii="Times New Roman" w:hAnsi="Times New Roman" w:cs="Times New Roman"/>
          <w:sz w:val="24"/>
          <w:szCs w:val="24"/>
          <w:lang w:val="en-GB"/>
        </w:rPr>
        <w:t>he scholarship</w:t>
      </w:r>
      <w:r w:rsidRPr="00D9330B">
        <w:rPr>
          <w:rFonts w:ascii="Times New Roman" w:hAnsi="Times New Roman" w:cs="Times New Roman"/>
          <w:sz w:val="24"/>
          <w:szCs w:val="24"/>
          <w:lang w:val="en-GB"/>
        </w:rPr>
        <w:t xml:space="preserve"> specifically</w:t>
      </w:r>
      <w:r w:rsidR="00CF180A">
        <w:rPr>
          <w:rFonts w:ascii="Times New Roman" w:hAnsi="Times New Roman" w:cs="Times New Roman"/>
          <w:sz w:val="24"/>
          <w:szCs w:val="24"/>
          <w:lang w:val="en-GB"/>
        </w:rPr>
        <w:t xml:space="preserve"> on Brazil</w:t>
      </w:r>
      <w:r w:rsidR="00C67B97" w:rsidRPr="00D9330B">
        <w:rPr>
          <w:rFonts w:ascii="Times New Roman" w:hAnsi="Times New Roman" w:cs="Times New Roman"/>
          <w:sz w:val="24"/>
          <w:szCs w:val="24"/>
          <w:lang w:val="en-GB"/>
        </w:rPr>
        <w:t xml:space="preserve"> stresses the impact of the 1988 constitution, </w:t>
      </w:r>
      <w:r w:rsidR="000A3ED2" w:rsidRPr="00D9330B">
        <w:rPr>
          <w:rFonts w:ascii="Times New Roman" w:hAnsi="Times New Roman" w:cs="Times New Roman"/>
          <w:sz w:val="24"/>
          <w:szCs w:val="24"/>
          <w:lang w:val="en-GB"/>
        </w:rPr>
        <w:t>which created new federal</w:t>
      </w:r>
      <w:r w:rsidR="00EB62DE" w:rsidRPr="00D9330B">
        <w:rPr>
          <w:rFonts w:ascii="Times New Roman" w:hAnsi="Times New Roman" w:cs="Times New Roman"/>
          <w:sz w:val="24"/>
          <w:szCs w:val="24"/>
          <w:lang w:val="en-GB"/>
        </w:rPr>
        <w:t xml:space="preserve"> social</w:t>
      </w:r>
      <w:r w:rsidR="00C67B97" w:rsidRPr="00D9330B">
        <w:rPr>
          <w:rFonts w:ascii="Times New Roman" w:hAnsi="Times New Roman" w:cs="Times New Roman"/>
          <w:sz w:val="24"/>
          <w:szCs w:val="24"/>
          <w:lang w:val="en-GB"/>
        </w:rPr>
        <w:t xml:space="preserve"> spending commitments at the same time as it increased mandatory transfers to subnational governments, forcing federal authorities to seek more revenue.</w:t>
      </w:r>
      <w:r w:rsidR="004A3E84" w:rsidRPr="00D9330B">
        <w:rPr>
          <w:rStyle w:val="FootnoteReference"/>
          <w:rFonts w:ascii="Times New Roman" w:hAnsi="Times New Roman" w:cs="Times New Roman"/>
          <w:sz w:val="24"/>
          <w:szCs w:val="24"/>
          <w:lang w:val="en-GB"/>
        </w:rPr>
        <w:footnoteReference w:id="5"/>
      </w:r>
      <w:r w:rsidR="00C67B97" w:rsidRPr="00D9330B">
        <w:rPr>
          <w:rFonts w:ascii="Times New Roman" w:hAnsi="Times New Roman" w:cs="Times New Roman"/>
          <w:sz w:val="24"/>
          <w:szCs w:val="24"/>
          <w:lang w:val="en-GB"/>
        </w:rPr>
        <w:t xml:space="preserve"> From this perspective, Brazil’s heavy taxation c</w:t>
      </w:r>
      <w:r w:rsidR="000A3ED2" w:rsidRPr="00D9330B">
        <w:rPr>
          <w:rFonts w:ascii="Times New Roman" w:hAnsi="Times New Roman" w:cs="Times New Roman"/>
          <w:sz w:val="24"/>
          <w:szCs w:val="24"/>
          <w:lang w:val="en-GB"/>
        </w:rPr>
        <w:t>an be seen as the</w:t>
      </w:r>
      <w:r w:rsidR="00C67B97" w:rsidRPr="00D9330B">
        <w:rPr>
          <w:rFonts w:ascii="Times New Roman" w:hAnsi="Times New Roman" w:cs="Times New Roman"/>
          <w:sz w:val="24"/>
          <w:szCs w:val="24"/>
          <w:lang w:val="en-GB"/>
        </w:rPr>
        <w:t xml:space="preserve"> result of its decision to draft a new constitutio</w:t>
      </w:r>
      <w:r w:rsidR="000A3ED2" w:rsidRPr="00D9330B">
        <w:rPr>
          <w:rFonts w:ascii="Times New Roman" w:hAnsi="Times New Roman" w:cs="Times New Roman"/>
          <w:sz w:val="24"/>
          <w:szCs w:val="24"/>
          <w:lang w:val="en-GB"/>
        </w:rPr>
        <w:t>n in the midst of its democratic transition</w:t>
      </w:r>
      <w:r w:rsidR="00C67B97" w:rsidRPr="00D9330B">
        <w:rPr>
          <w:rFonts w:ascii="Times New Roman" w:hAnsi="Times New Roman" w:cs="Times New Roman"/>
          <w:sz w:val="24"/>
          <w:szCs w:val="24"/>
          <w:lang w:val="en-GB"/>
        </w:rPr>
        <w:t xml:space="preserve">, when civil society was </w:t>
      </w:r>
      <w:r w:rsidR="00243038" w:rsidRPr="00D9330B">
        <w:rPr>
          <w:rFonts w:ascii="Times New Roman" w:hAnsi="Times New Roman" w:cs="Times New Roman"/>
          <w:sz w:val="24"/>
          <w:szCs w:val="24"/>
          <w:lang w:val="en-GB"/>
        </w:rPr>
        <w:t>highly mobilis</w:t>
      </w:r>
      <w:r w:rsidR="000A3ED2" w:rsidRPr="00D9330B">
        <w:rPr>
          <w:rFonts w:ascii="Times New Roman" w:hAnsi="Times New Roman" w:cs="Times New Roman"/>
          <w:sz w:val="24"/>
          <w:szCs w:val="24"/>
          <w:lang w:val="en-GB"/>
        </w:rPr>
        <w:t>ed and many actors</w:t>
      </w:r>
      <w:r w:rsidR="00C67B97" w:rsidRPr="00D9330B">
        <w:rPr>
          <w:rFonts w:ascii="Times New Roman" w:hAnsi="Times New Roman" w:cs="Times New Roman"/>
          <w:sz w:val="24"/>
          <w:szCs w:val="24"/>
          <w:lang w:val="en-GB"/>
        </w:rPr>
        <w:t xml:space="preserve"> were eager to push demands upon the</w:t>
      </w:r>
      <w:r w:rsidR="00243038" w:rsidRPr="00D9330B">
        <w:rPr>
          <w:rFonts w:ascii="Times New Roman" w:hAnsi="Times New Roman" w:cs="Times New Roman"/>
          <w:sz w:val="24"/>
          <w:szCs w:val="24"/>
          <w:lang w:val="en-GB"/>
        </w:rPr>
        <w:t xml:space="preserve"> state. While there is</w:t>
      </w:r>
      <w:r w:rsidR="00855DC2" w:rsidRPr="00D9330B">
        <w:rPr>
          <w:rFonts w:ascii="Times New Roman" w:hAnsi="Times New Roman" w:cs="Times New Roman"/>
          <w:sz w:val="24"/>
          <w:szCs w:val="24"/>
          <w:lang w:val="en-GB"/>
        </w:rPr>
        <w:t xml:space="preserve"> </w:t>
      </w:r>
      <w:r w:rsidR="00BD67E6" w:rsidRPr="00D9330B">
        <w:rPr>
          <w:rFonts w:ascii="Times New Roman" w:hAnsi="Times New Roman" w:cs="Times New Roman"/>
          <w:sz w:val="24"/>
          <w:szCs w:val="24"/>
          <w:lang w:val="en-GB"/>
        </w:rPr>
        <w:t>merit in</w:t>
      </w:r>
      <w:r w:rsidR="00C67B97" w:rsidRPr="00D9330B">
        <w:rPr>
          <w:rFonts w:ascii="Times New Roman" w:hAnsi="Times New Roman" w:cs="Times New Roman"/>
          <w:sz w:val="24"/>
          <w:szCs w:val="24"/>
          <w:lang w:val="en-GB"/>
        </w:rPr>
        <w:t xml:space="preserve"> this view, it leaves crucial quest</w:t>
      </w:r>
      <w:r w:rsidR="0089699E" w:rsidRPr="00D9330B">
        <w:rPr>
          <w:rFonts w:ascii="Times New Roman" w:hAnsi="Times New Roman" w:cs="Times New Roman"/>
          <w:sz w:val="24"/>
          <w:szCs w:val="24"/>
          <w:lang w:val="en-GB"/>
        </w:rPr>
        <w:t>ions unanswered. In particular, w</w:t>
      </w:r>
      <w:r w:rsidR="00F952DA" w:rsidRPr="00D9330B">
        <w:rPr>
          <w:rFonts w:ascii="Times New Roman" w:hAnsi="Times New Roman" w:cs="Times New Roman"/>
          <w:sz w:val="24"/>
          <w:szCs w:val="24"/>
          <w:lang w:val="en-GB"/>
        </w:rPr>
        <w:t>hy</w:t>
      </w:r>
      <w:r w:rsidR="00C67B97" w:rsidRPr="00D9330B">
        <w:rPr>
          <w:rFonts w:ascii="Times New Roman" w:hAnsi="Times New Roman" w:cs="Times New Roman"/>
          <w:sz w:val="24"/>
          <w:szCs w:val="24"/>
          <w:lang w:val="en-GB"/>
        </w:rPr>
        <w:t xml:space="preserve"> was Brazil’s tax burden already the heaviest in Latin America even before 1988? Also, </w:t>
      </w:r>
      <w:r w:rsidR="000A3ED2" w:rsidRPr="00D9330B">
        <w:rPr>
          <w:rFonts w:ascii="Times New Roman" w:hAnsi="Times New Roman" w:cs="Times New Roman"/>
          <w:sz w:val="24"/>
          <w:szCs w:val="24"/>
          <w:lang w:val="en-GB"/>
        </w:rPr>
        <w:t>given that the constitution has</w:t>
      </w:r>
      <w:r w:rsidR="002142DB" w:rsidRPr="00D9330B">
        <w:rPr>
          <w:rFonts w:ascii="Times New Roman" w:hAnsi="Times New Roman" w:cs="Times New Roman"/>
          <w:sz w:val="24"/>
          <w:szCs w:val="24"/>
          <w:lang w:val="en-GB"/>
        </w:rPr>
        <w:t xml:space="preserve"> </w:t>
      </w:r>
      <w:r w:rsidR="00565960" w:rsidRPr="00D9330B">
        <w:rPr>
          <w:rFonts w:ascii="Times New Roman" w:hAnsi="Times New Roman" w:cs="Times New Roman"/>
          <w:sz w:val="24"/>
          <w:szCs w:val="24"/>
          <w:lang w:val="en-GB"/>
        </w:rPr>
        <w:t xml:space="preserve">already </w:t>
      </w:r>
      <w:r w:rsidR="00A14EE3" w:rsidRPr="00D9330B">
        <w:rPr>
          <w:rFonts w:ascii="Times New Roman" w:hAnsi="Times New Roman" w:cs="Times New Roman"/>
          <w:sz w:val="24"/>
          <w:szCs w:val="24"/>
          <w:lang w:val="en-GB"/>
        </w:rPr>
        <w:t>been amended more than 80</w:t>
      </w:r>
      <w:r w:rsidR="00C67B97" w:rsidRPr="00D9330B">
        <w:rPr>
          <w:rFonts w:ascii="Times New Roman" w:hAnsi="Times New Roman" w:cs="Times New Roman"/>
          <w:sz w:val="24"/>
          <w:szCs w:val="24"/>
          <w:lang w:val="en-GB"/>
        </w:rPr>
        <w:t xml:space="preserve"> times, why have authorities not taken stronger measures to the attenuate the s</w:t>
      </w:r>
      <w:r w:rsidR="00FC7BE4" w:rsidRPr="00D9330B">
        <w:rPr>
          <w:rFonts w:ascii="Times New Roman" w:hAnsi="Times New Roman" w:cs="Times New Roman"/>
          <w:sz w:val="24"/>
          <w:szCs w:val="24"/>
          <w:lang w:val="en-GB"/>
        </w:rPr>
        <w:t>pending pressure it generates</w:t>
      </w:r>
      <w:r w:rsidR="00C67B97" w:rsidRPr="00D9330B">
        <w:rPr>
          <w:rFonts w:ascii="Times New Roman" w:hAnsi="Times New Roman" w:cs="Times New Roman"/>
          <w:sz w:val="24"/>
          <w:szCs w:val="24"/>
          <w:lang w:val="en-GB"/>
        </w:rPr>
        <w:t>?</w:t>
      </w:r>
    </w:p>
    <w:p w:rsidR="00F82F93" w:rsidRPr="00D9330B" w:rsidRDefault="004E77FB" w:rsidP="00713A2D">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This paper s</w:t>
      </w:r>
      <w:r w:rsidR="00587602" w:rsidRPr="00D9330B">
        <w:rPr>
          <w:rFonts w:ascii="Times New Roman" w:hAnsi="Times New Roman" w:cs="Times New Roman"/>
          <w:sz w:val="24"/>
          <w:szCs w:val="24"/>
          <w:lang w:val="en-GB"/>
        </w:rPr>
        <w:t xml:space="preserve">eeks </w:t>
      </w:r>
      <w:r w:rsidR="006B7E7D" w:rsidRPr="00D9330B">
        <w:rPr>
          <w:rFonts w:ascii="Times New Roman" w:hAnsi="Times New Roman" w:cs="Times New Roman"/>
          <w:sz w:val="24"/>
          <w:szCs w:val="24"/>
          <w:lang w:val="en-GB"/>
        </w:rPr>
        <w:t>a fuller understanding</w:t>
      </w:r>
      <w:r w:rsidR="003515B1" w:rsidRPr="00D9330B">
        <w:rPr>
          <w:rFonts w:ascii="Times New Roman" w:hAnsi="Times New Roman" w:cs="Times New Roman"/>
          <w:sz w:val="24"/>
          <w:szCs w:val="24"/>
          <w:lang w:val="en-GB"/>
        </w:rPr>
        <w:t xml:space="preserve"> of the root</w:t>
      </w:r>
      <w:r w:rsidRPr="00D9330B">
        <w:rPr>
          <w:rFonts w:ascii="Times New Roman" w:hAnsi="Times New Roman" w:cs="Times New Roman"/>
          <w:sz w:val="24"/>
          <w:szCs w:val="24"/>
          <w:lang w:val="en-GB"/>
        </w:rPr>
        <w:t>s of Brazil’</w:t>
      </w:r>
      <w:r w:rsidR="006B7E7D" w:rsidRPr="00D9330B">
        <w:rPr>
          <w:rFonts w:ascii="Times New Roman" w:hAnsi="Times New Roman" w:cs="Times New Roman"/>
          <w:sz w:val="24"/>
          <w:szCs w:val="24"/>
          <w:lang w:val="en-GB"/>
        </w:rPr>
        <w:t>s tax burden</w:t>
      </w:r>
      <w:r w:rsidR="00EB62DE" w:rsidRPr="00D9330B">
        <w:rPr>
          <w:rFonts w:ascii="Times New Roman" w:hAnsi="Times New Roman" w:cs="Times New Roman"/>
          <w:sz w:val="24"/>
          <w:szCs w:val="24"/>
          <w:lang w:val="en-GB"/>
        </w:rPr>
        <w:t xml:space="preserve"> by examining</w:t>
      </w:r>
      <w:r w:rsidR="006B7E7D" w:rsidRPr="00D9330B">
        <w:rPr>
          <w:rFonts w:ascii="Times New Roman" w:hAnsi="Times New Roman" w:cs="Times New Roman"/>
          <w:sz w:val="24"/>
          <w:szCs w:val="24"/>
          <w:lang w:val="en-GB"/>
        </w:rPr>
        <w:t xml:space="preserve"> the</w:t>
      </w:r>
      <w:r w:rsidRPr="00D9330B">
        <w:rPr>
          <w:rFonts w:ascii="Times New Roman" w:hAnsi="Times New Roman" w:cs="Times New Roman"/>
          <w:sz w:val="24"/>
          <w:szCs w:val="24"/>
          <w:lang w:val="en-GB"/>
        </w:rPr>
        <w:t xml:space="preserve"> historical process that transformed Brazil into the most heavily taxed c</w:t>
      </w:r>
      <w:r w:rsidR="005F08A6" w:rsidRPr="00D9330B">
        <w:rPr>
          <w:rFonts w:ascii="Times New Roman" w:hAnsi="Times New Roman" w:cs="Times New Roman"/>
          <w:sz w:val="24"/>
          <w:szCs w:val="24"/>
          <w:lang w:val="en-GB"/>
        </w:rPr>
        <w:t xml:space="preserve">ountry in Latin America. As recently as </w:t>
      </w:r>
      <w:r w:rsidRPr="00D9330B">
        <w:rPr>
          <w:rFonts w:ascii="Times New Roman" w:hAnsi="Times New Roman" w:cs="Times New Roman"/>
          <w:sz w:val="24"/>
          <w:szCs w:val="24"/>
          <w:lang w:val="en-GB"/>
        </w:rPr>
        <w:t xml:space="preserve">the </w:t>
      </w:r>
      <w:r w:rsidR="00740AC0" w:rsidRPr="00D9330B">
        <w:rPr>
          <w:rFonts w:ascii="Times New Roman" w:hAnsi="Times New Roman" w:cs="Times New Roman"/>
          <w:sz w:val="24"/>
          <w:szCs w:val="24"/>
          <w:lang w:val="en-GB"/>
        </w:rPr>
        <w:t xml:space="preserve">early </w:t>
      </w:r>
      <w:r w:rsidRPr="00D9330B">
        <w:rPr>
          <w:rFonts w:ascii="Times New Roman" w:hAnsi="Times New Roman" w:cs="Times New Roman"/>
          <w:sz w:val="24"/>
          <w:szCs w:val="24"/>
          <w:lang w:val="en-GB"/>
        </w:rPr>
        <w:t>1950s</w:t>
      </w:r>
      <w:r w:rsidR="005F08A6" w:rsidRPr="00D9330B">
        <w:rPr>
          <w:rFonts w:ascii="Times New Roman" w:hAnsi="Times New Roman" w:cs="Times New Roman"/>
          <w:sz w:val="24"/>
          <w:szCs w:val="24"/>
          <w:lang w:val="en-GB"/>
        </w:rPr>
        <w:t>,</w:t>
      </w:r>
      <w:r w:rsidR="002142DB" w:rsidRPr="00D9330B">
        <w:rPr>
          <w:rFonts w:ascii="Times New Roman" w:hAnsi="Times New Roman" w:cs="Times New Roman"/>
          <w:sz w:val="24"/>
          <w:szCs w:val="24"/>
          <w:lang w:val="en-GB"/>
        </w:rPr>
        <w:t xml:space="preserve"> three countries</w:t>
      </w:r>
      <w:r w:rsidRPr="00D9330B">
        <w:rPr>
          <w:rFonts w:ascii="Times New Roman" w:hAnsi="Times New Roman" w:cs="Times New Roman"/>
          <w:sz w:val="24"/>
          <w:szCs w:val="24"/>
          <w:lang w:val="en-GB"/>
        </w:rPr>
        <w:t xml:space="preserve"> – Argentina, Chile and Uruguay – ha</w:t>
      </w:r>
      <w:r w:rsidR="006B7E7D" w:rsidRPr="00D9330B">
        <w:rPr>
          <w:rFonts w:ascii="Times New Roman" w:hAnsi="Times New Roman" w:cs="Times New Roman"/>
          <w:sz w:val="24"/>
          <w:szCs w:val="24"/>
          <w:lang w:val="en-GB"/>
        </w:rPr>
        <w:t>d tax burdens similar to or</w:t>
      </w:r>
      <w:r w:rsidRPr="00D9330B">
        <w:rPr>
          <w:rFonts w:ascii="Times New Roman" w:hAnsi="Times New Roman" w:cs="Times New Roman"/>
          <w:sz w:val="24"/>
          <w:szCs w:val="24"/>
          <w:lang w:val="en-GB"/>
        </w:rPr>
        <w:t xml:space="preserve"> heavier </w:t>
      </w:r>
      <w:r w:rsidR="00AA0513">
        <w:rPr>
          <w:rFonts w:ascii="Times New Roman" w:hAnsi="Times New Roman" w:cs="Times New Roman"/>
          <w:sz w:val="24"/>
          <w:szCs w:val="24"/>
          <w:lang w:val="en-GB"/>
        </w:rPr>
        <w:t>than Brazil’s. Over the next three</w:t>
      </w:r>
      <w:r w:rsidRPr="00D9330B">
        <w:rPr>
          <w:rFonts w:ascii="Times New Roman" w:hAnsi="Times New Roman" w:cs="Times New Roman"/>
          <w:sz w:val="24"/>
          <w:szCs w:val="24"/>
          <w:lang w:val="en-GB"/>
        </w:rPr>
        <w:t xml:space="preserve"> decades, however, Brazil </w:t>
      </w:r>
      <w:r w:rsidRPr="00D9330B">
        <w:rPr>
          <w:rFonts w:ascii="Times New Roman" w:hAnsi="Times New Roman" w:cs="Times New Roman"/>
          <w:sz w:val="24"/>
          <w:szCs w:val="24"/>
          <w:lang w:val="en-GB"/>
        </w:rPr>
        <w:lastRenderedPageBreak/>
        <w:t>would surpass</w:t>
      </w:r>
      <w:r w:rsidR="006D0B22" w:rsidRPr="00D9330B">
        <w:rPr>
          <w:rFonts w:ascii="Times New Roman" w:hAnsi="Times New Roman" w:cs="Times New Roman"/>
          <w:sz w:val="24"/>
          <w:szCs w:val="24"/>
          <w:lang w:val="en-GB"/>
        </w:rPr>
        <w:t xml:space="preserve"> them all, leaving</w:t>
      </w:r>
      <w:r w:rsidR="00740AC0" w:rsidRPr="00D9330B">
        <w:rPr>
          <w:rFonts w:ascii="Times New Roman" w:hAnsi="Times New Roman" w:cs="Times New Roman"/>
          <w:sz w:val="24"/>
          <w:szCs w:val="24"/>
          <w:lang w:val="en-GB"/>
        </w:rPr>
        <w:t xml:space="preserve"> Argentina behind in the late 1950s, Uruguay</w:t>
      </w:r>
      <w:r w:rsidRPr="00D9330B">
        <w:rPr>
          <w:rFonts w:ascii="Times New Roman" w:hAnsi="Times New Roman" w:cs="Times New Roman"/>
          <w:sz w:val="24"/>
          <w:szCs w:val="24"/>
          <w:lang w:val="en-GB"/>
        </w:rPr>
        <w:t xml:space="preserve"> in the</w:t>
      </w:r>
      <w:r w:rsidR="00740AC0" w:rsidRPr="00D9330B">
        <w:rPr>
          <w:rFonts w:ascii="Times New Roman" w:hAnsi="Times New Roman" w:cs="Times New Roman"/>
          <w:sz w:val="24"/>
          <w:szCs w:val="24"/>
          <w:lang w:val="en-GB"/>
        </w:rPr>
        <w:t xml:space="preserve"> mid-</w:t>
      </w:r>
      <w:r w:rsidRPr="00D9330B">
        <w:rPr>
          <w:rFonts w:ascii="Times New Roman" w:hAnsi="Times New Roman" w:cs="Times New Roman"/>
          <w:sz w:val="24"/>
          <w:szCs w:val="24"/>
          <w:lang w:val="en-GB"/>
        </w:rPr>
        <w:t>1960s a</w:t>
      </w:r>
      <w:r w:rsidR="00740AC0" w:rsidRPr="00D9330B">
        <w:rPr>
          <w:rFonts w:ascii="Times New Roman" w:hAnsi="Times New Roman" w:cs="Times New Roman"/>
          <w:sz w:val="24"/>
          <w:szCs w:val="24"/>
          <w:lang w:val="en-GB"/>
        </w:rPr>
        <w:t>nd</w:t>
      </w:r>
      <w:r w:rsidR="008B34FF" w:rsidRPr="00D9330B">
        <w:rPr>
          <w:rFonts w:ascii="Times New Roman" w:hAnsi="Times New Roman" w:cs="Times New Roman"/>
          <w:sz w:val="24"/>
          <w:szCs w:val="24"/>
          <w:lang w:val="en-GB"/>
        </w:rPr>
        <w:t xml:space="preserve"> Chile</w:t>
      </w:r>
      <w:r w:rsidR="0001635E" w:rsidRPr="00D9330B">
        <w:rPr>
          <w:rFonts w:ascii="Times New Roman" w:hAnsi="Times New Roman" w:cs="Times New Roman"/>
          <w:sz w:val="24"/>
          <w:szCs w:val="24"/>
          <w:lang w:val="en-GB"/>
        </w:rPr>
        <w:t xml:space="preserve"> in the early 1980s</w:t>
      </w:r>
      <w:r w:rsidR="006B7E7D" w:rsidRPr="00D9330B">
        <w:rPr>
          <w:rFonts w:ascii="Times New Roman" w:hAnsi="Times New Roman" w:cs="Times New Roman"/>
          <w:sz w:val="24"/>
          <w:szCs w:val="24"/>
          <w:lang w:val="en-GB"/>
        </w:rPr>
        <w:t>. Since then, the gap between Brazi</w:t>
      </w:r>
      <w:r w:rsidR="00954A3B" w:rsidRPr="00D9330B">
        <w:rPr>
          <w:rFonts w:ascii="Times New Roman" w:hAnsi="Times New Roman" w:cs="Times New Roman"/>
          <w:sz w:val="24"/>
          <w:szCs w:val="24"/>
          <w:lang w:val="en-GB"/>
        </w:rPr>
        <w:t>l and these countries has</w:t>
      </w:r>
      <w:r w:rsidR="006B7E7D" w:rsidRPr="00D9330B">
        <w:rPr>
          <w:rFonts w:ascii="Times New Roman" w:hAnsi="Times New Roman" w:cs="Times New Roman"/>
          <w:sz w:val="24"/>
          <w:szCs w:val="24"/>
          <w:lang w:val="en-GB"/>
        </w:rPr>
        <w:t xml:space="preserve"> </w:t>
      </w:r>
      <w:r w:rsidR="008B7F45" w:rsidRPr="00D9330B">
        <w:rPr>
          <w:rFonts w:ascii="Times New Roman" w:hAnsi="Times New Roman" w:cs="Times New Roman"/>
          <w:sz w:val="24"/>
          <w:szCs w:val="24"/>
          <w:lang w:val="en-GB"/>
        </w:rPr>
        <w:t>tended to grow</w:t>
      </w:r>
      <w:r w:rsidR="00954A3B" w:rsidRPr="00D9330B">
        <w:rPr>
          <w:rFonts w:ascii="Times New Roman" w:hAnsi="Times New Roman" w:cs="Times New Roman"/>
          <w:sz w:val="24"/>
          <w:szCs w:val="24"/>
          <w:lang w:val="en-GB"/>
        </w:rPr>
        <w:t>, although</w:t>
      </w:r>
      <w:r w:rsidR="00BE5C97" w:rsidRPr="00D9330B">
        <w:rPr>
          <w:rFonts w:ascii="Times New Roman" w:hAnsi="Times New Roman" w:cs="Times New Roman"/>
          <w:sz w:val="24"/>
          <w:szCs w:val="24"/>
          <w:lang w:val="en-GB"/>
        </w:rPr>
        <w:t xml:space="preserve"> Argentina and Uruguay have recently begun to catch up</w:t>
      </w:r>
      <w:r w:rsidRPr="00D9330B">
        <w:rPr>
          <w:rFonts w:ascii="Times New Roman" w:hAnsi="Times New Roman" w:cs="Times New Roman"/>
          <w:sz w:val="24"/>
          <w:szCs w:val="24"/>
          <w:lang w:val="en-GB"/>
        </w:rPr>
        <w:t>.</w:t>
      </w:r>
      <w:r w:rsidR="006B7E7D" w:rsidRPr="00D9330B">
        <w:rPr>
          <w:rFonts w:ascii="Times New Roman" w:hAnsi="Times New Roman" w:cs="Times New Roman"/>
          <w:sz w:val="24"/>
          <w:szCs w:val="24"/>
          <w:lang w:val="en-GB"/>
        </w:rPr>
        <w:t xml:space="preserve"> </w:t>
      </w:r>
      <w:r w:rsidR="008B34FF" w:rsidRPr="00D9330B">
        <w:rPr>
          <w:rFonts w:ascii="Times New Roman" w:hAnsi="Times New Roman" w:cs="Times New Roman"/>
          <w:sz w:val="24"/>
          <w:szCs w:val="24"/>
          <w:lang w:val="en-GB"/>
        </w:rPr>
        <w:t>The paper</w:t>
      </w:r>
      <w:r w:rsidR="00234372" w:rsidRPr="00D9330B">
        <w:rPr>
          <w:rFonts w:ascii="Times New Roman" w:hAnsi="Times New Roman" w:cs="Times New Roman"/>
          <w:sz w:val="24"/>
          <w:szCs w:val="24"/>
          <w:lang w:val="en-GB"/>
        </w:rPr>
        <w:t xml:space="preserve"> compares the evolution of the tax burden in all four countries since 1950 to understand </w:t>
      </w:r>
      <w:r w:rsidR="008B34FF" w:rsidRPr="00D9330B">
        <w:rPr>
          <w:rFonts w:ascii="Times New Roman" w:hAnsi="Times New Roman" w:cs="Times New Roman"/>
          <w:sz w:val="24"/>
          <w:szCs w:val="24"/>
          <w:lang w:val="en-GB"/>
        </w:rPr>
        <w:t>how Brazil rose to the top of the</w:t>
      </w:r>
      <w:r w:rsidR="000419C6" w:rsidRPr="00D9330B">
        <w:rPr>
          <w:rFonts w:ascii="Times New Roman" w:hAnsi="Times New Roman" w:cs="Times New Roman"/>
          <w:sz w:val="24"/>
          <w:szCs w:val="24"/>
          <w:lang w:val="en-GB"/>
        </w:rPr>
        <w:t xml:space="preserve"> </w:t>
      </w:r>
      <w:r w:rsidR="001321A9" w:rsidRPr="00D9330B">
        <w:rPr>
          <w:rFonts w:ascii="Times New Roman" w:hAnsi="Times New Roman" w:cs="Times New Roman"/>
          <w:sz w:val="24"/>
          <w:szCs w:val="24"/>
          <w:lang w:val="en-GB"/>
        </w:rPr>
        <w:t>regional</w:t>
      </w:r>
      <w:r w:rsidR="00234372" w:rsidRPr="00D9330B">
        <w:rPr>
          <w:rFonts w:ascii="Times New Roman" w:hAnsi="Times New Roman" w:cs="Times New Roman"/>
          <w:sz w:val="24"/>
          <w:szCs w:val="24"/>
          <w:lang w:val="en-GB"/>
        </w:rPr>
        <w:t xml:space="preserve"> </w:t>
      </w:r>
      <w:r w:rsidR="00427B5E" w:rsidRPr="00D9330B">
        <w:rPr>
          <w:rFonts w:ascii="Times New Roman" w:hAnsi="Times New Roman" w:cs="Times New Roman"/>
          <w:sz w:val="24"/>
          <w:szCs w:val="24"/>
          <w:lang w:val="en-GB"/>
        </w:rPr>
        <w:t>ranking and</w:t>
      </w:r>
      <w:r w:rsidR="00F12512" w:rsidRPr="00D9330B">
        <w:rPr>
          <w:rFonts w:ascii="Times New Roman" w:hAnsi="Times New Roman" w:cs="Times New Roman"/>
          <w:sz w:val="24"/>
          <w:szCs w:val="24"/>
          <w:lang w:val="en-GB"/>
        </w:rPr>
        <w:t xml:space="preserve"> has managed to stay there</w:t>
      </w:r>
      <w:r w:rsidR="001A2DFD" w:rsidRPr="00D9330B">
        <w:rPr>
          <w:rFonts w:ascii="Times New Roman" w:hAnsi="Times New Roman" w:cs="Times New Roman"/>
          <w:sz w:val="24"/>
          <w:szCs w:val="24"/>
          <w:lang w:val="en-GB"/>
        </w:rPr>
        <w:t>.</w:t>
      </w:r>
    </w:p>
    <w:p w:rsidR="008B7F45" w:rsidRPr="00D9330B" w:rsidRDefault="00A1647F" w:rsidP="00F82F93">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As this discussion suggests</w:t>
      </w:r>
      <w:r w:rsidR="00BC435E" w:rsidRPr="00D9330B">
        <w:rPr>
          <w:rFonts w:ascii="Times New Roman" w:hAnsi="Times New Roman" w:cs="Times New Roman"/>
          <w:sz w:val="24"/>
          <w:szCs w:val="24"/>
          <w:lang w:val="en-GB"/>
        </w:rPr>
        <w:t>, the choice of the Southern Cone countries as the comparative frame</w:t>
      </w:r>
      <w:r w:rsidR="00F70884" w:rsidRPr="00D9330B">
        <w:rPr>
          <w:rFonts w:ascii="Times New Roman" w:hAnsi="Times New Roman" w:cs="Times New Roman"/>
          <w:sz w:val="24"/>
          <w:szCs w:val="24"/>
          <w:lang w:val="en-GB"/>
        </w:rPr>
        <w:t xml:space="preserve"> is</w:t>
      </w:r>
      <w:r w:rsidR="00533BAB" w:rsidRPr="00D9330B">
        <w:rPr>
          <w:rFonts w:ascii="Times New Roman" w:hAnsi="Times New Roman" w:cs="Times New Roman"/>
          <w:sz w:val="24"/>
          <w:szCs w:val="24"/>
          <w:lang w:val="en-GB"/>
        </w:rPr>
        <w:t xml:space="preserve"> determined</w:t>
      </w:r>
      <w:r w:rsidR="00F70884" w:rsidRPr="00D9330B">
        <w:rPr>
          <w:rFonts w:ascii="Times New Roman" w:hAnsi="Times New Roman" w:cs="Times New Roman"/>
          <w:sz w:val="24"/>
          <w:szCs w:val="24"/>
          <w:lang w:val="en-GB"/>
        </w:rPr>
        <w:t xml:space="preserve"> </w:t>
      </w:r>
      <w:r w:rsidR="00817594" w:rsidRPr="00D9330B">
        <w:rPr>
          <w:rFonts w:ascii="Times New Roman" w:hAnsi="Times New Roman" w:cs="Times New Roman"/>
          <w:sz w:val="24"/>
          <w:szCs w:val="24"/>
          <w:lang w:val="en-GB"/>
        </w:rPr>
        <w:t xml:space="preserve">mainly </w:t>
      </w:r>
      <w:r w:rsidR="00533BAB" w:rsidRPr="00D9330B">
        <w:rPr>
          <w:rFonts w:ascii="Times New Roman" w:hAnsi="Times New Roman" w:cs="Times New Roman"/>
          <w:sz w:val="24"/>
          <w:szCs w:val="24"/>
          <w:lang w:val="en-GB"/>
        </w:rPr>
        <w:t xml:space="preserve">by </w:t>
      </w:r>
      <w:r w:rsidR="00BC435E" w:rsidRPr="00D9330B">
        <w:rPr>
          <w:rFonts w:ascii="Times New Roman" w:hAnsi="Times New Roman" w:cs="Times New Roman"/>
          <w:sz w:val="24"/>
          <w:szCs w:val="24"/>
          <w:lang w:val="en-GB"/>
        </w:rPr>
        <w:t>the historical process itself</w:t>
      </w:r>
      <w:r w:rsidR="00875B91" w:rsidRPr="00D9330B">
        <w:rPr>
          <w:rFonts w:ascii="Times New Roman" w:hAnsi="Times New Roman" w:cs="Times New Roman"/>
          <w:sz w:val="24"/>
          <w:szCs w:val="24"/>
          <w:lang w:val="en-GB"/>
        </w:rPr>
        <w:t xml:space="preserve">: they </w:t>
      </w:r>
      <w:r w:rsidR="00AB7DD5">
        <w:rPr>
          <w:rFonts w:ascii="Times New Roman" w:hAnsi="Times New Roman" w:cs="Times New Roman"/>
          <w:sz w:val="24"/>
          <w:szCs w:val="24"/>
          <w:lang w:val="en-GB"/>
        </w:rPr>
        <w:t>were the countries Brazil had to pass</w:t>
      </w:r>
      <w:r w:rsidR="009F47BC">
        <w:rPr>
          <w:rFonts w:ascii="Times New Roman" w:hAnsi="Times New Roman" w:cs="Times New Roman"/>
          <w:sz w:val="24"/>
          <w:szCs w:val="24"/>
          <w:lang w:val="en-GB"/>
        </w:rPr>
        <w:t xml:space="preserve"> to ascend to </w:t>
      </w:r>
      <w:r w:rsidR="00AB7DD5">
        <w:rPr>
          <w:rFonts w:ascii="Times New Roman" w:hAnsi="Times New Roman" w:cs="Times New Roman"/>
          <w:sz w:val="24"/>
          <w:szCs w:val="24"/>
          <w:lang w:val="en-GB"/>
        </w:rPr>
        <w:t xml:space="preserve">the top of the </w:t>
      </w:r>
      <w:r w:rsidR="009F47BC">
        <w:rPr>
          <w:rFonts w:ascii="Times New Roman" w:hAnsi="Times New Roman" w:cs="Times New Roman"/>
          <w:sz w:val="24"/>
          <w:szCs w:val="24"/>
          <w:lang w:val="en-GB"/>
        </w:rPr>
        <w:t xml:space="preserve">regional </w:t>
      </w:r>
      <w:r w:rsidR="00AB7DD5">
        <w:rPr>
          <w:rFonts w:ascii="Times New Roman" w:hAnsi="Times New Roman" w:cs="Times New Roman"/>
          <w:sz w:val="24"/>
          <w:szCs w:val="24"/>
          <w:lang w:val="en-GB"/>
        </w:rPr>
        <w:t>tax burden ranking</w:t>
      </w:r>
      <w:r w:rsidR="009F47BC">
        <w:rPr>
          <w:rFonts w:ascii="Times New Roman" w:hAnsi="Times New Roman" w:cs="Times New Roman"/>
          <w:sz w:val="24"/>
          <w:szCs w:val="24"/>
          <w:lang w:val="en-GB"/>
        </w:rPr>
        <w:t xml:space="preserve"> and, for the most part, they</w:t>
      </w:r>
      <w:r w:rsidR="00AA0513">
        <w:rPr>
          <w:rFonts w:ascii="Times New Roman" w:hAnsi="Times New Roman" w:cs="Times New Roman"/>
          <w:sz w:val="24"/>
          <w:szCs w:val="24"/>
          <w:lang w:val="en-GB"/>
        </w:rPr>
        <w:t xml:space="preserve"> have continued to be its main rivals</w:t>
      </w:r>
      <w:r w:rsidR="009F47BC">
        <w:rPr>
          <w:rFonts w:ascii="Times New Roman" w:hAnsi="Times New Roman" w:cs="Times New Roman"/>
          <w:sz w:val="24"/>
          <w:szCs w:val="24"/>
          <w:lang w:val="en-GB"/>
        </w:rPr>
        <w:t xml:space="preserve"> for that position since the early 1980s</w:t>
      </w:r>
      <w:r w:rsidR="00CF06AE" w:rsidRPr="00D9330B">
        <w:rPr>
          <w:rFonts w:ascii="Times New Roman" w:hAnsi="Times New Roman" w:cs="Times New Roman"/>
          <w:sz w:val="24"/>
          <w:szCs w:val="24"/>
          <w:lang w:val="en-GB"/>
        </w:rPr>
        <w:t>.</w:t>
      </w:r>
      <w:r w:rsidR="00817594" w:rsidRPr="00D9330B">
        <w:rPr>
          <w:rFonts w:ascii="Times New Roman" w:hAnsi="Times New Roman" w:cs="Times New Roman"/>
          <w:sz w:val="24"/>
          <w:szCs w:val="24"/>
          <w:lang w:val="en-GB"/>
        </w:rPr>
        <w:t xml:space="preserve"> H</w:t>
      </w:r>
      <w:r w:rsidR="00954A3B" w:rsidRPr="00D9330B">
        <w:rPr>
          <w:rFonts w:ascii="Times New Roman" w:hAnsi="Times New Roman" w:cs="Times New Roman"/>
          <w:sz w:val="24"/>
          <w:szCs w:val="24"/>
          <w:lang w:val="en-GB"/>
        </w:rPr>
        <w:t>owever,</w:t>
      </w:r>
      <w:r w:rsidR="00F82F93" w:rsidRPr="00D9330B">
        <w:rPr>
          <w:rFonts w:ascii="Times New Roman" w:hAnsi="Times New Roman" w:cs="Times New Roman"/>
          <w:sz w:val="24"/>
          <w:szCs w:val="24"/>
          <w:lang w:val="en-GB"/>
        </w:rPr>
        <w:t xml:space="preserve"> it also makes sense relative</w:t>
      </w:r>
      <w:r w:rsidR="00954A3B" w:rsidRPr="00D9330B">
        <w:rPr>
          <w:rFonts w:ascii="Times New Roman" w:hAnsi="Times New Roman" w:cs="Times New Roman"/>
          <w:sz w:val="24"/>
          <w:szCs w:val="24"/>
          <w:lang w:val="en-GB"/>
        </w:rPr>
        <w:t xml:space="preserve"> to</w:t>
      </w:r>
      <w:r w:rsidR="00817594" w:rsidRPr="00D9330B">
        <w:rPr>
          <w:rFonts w:ascii="Times New Roman" w:hAnsi="Times New Roman" w:cs="Times New Roman"/>
          <w:sz w:val="24"/>
          <w:szCs w:val="24"/>
          <w:lang w:val="en-GB"/>
        </w:rPr>
        <w:t xml:space="preserve"> the logi</w:t>
      </w:r>
      <w:r w:rsidR="00AA458F" w:rsidRPr="00D9330B">
        <w:rPr>
          <w:rFonts w:ascii="Times New Roman" w:hAnsi="Times New Roman" w:cs="Times New Roman"/>
          <w:sz w:val="24"/>
          <w:szCs w:val="24"/>
          <w:lang w:val="en-GB"/>
        </w:rPr>
        <w:t>c of controlling for certain well-established</w:t>
      </w:r>
      <w:r w:rsidR="00817594" w:rsidRPr="00D9330B">
        <w:rPr>
          <w:rFonts w:ascii="Times New Roman" w:hAnsi="Times New Roman" w:cs="Times New Roman"/>
          <w:sz w:val="24"/>
          <w:szCs w:val="24"/>
          <w:lang w:val="en-GB"/>
        </w:rPr>
        <w:t xml:space="preserve"> </w:t>
      </w:r>
      <w:r w:rsidR="00351277">
        <w:rPr>
          <w:rFonts w:ascii="Times New Roman" w:hAnsi="Times New Roman" w:cs="Times New Roman"/>
          <w:sz w:val="24"/>
          <w:szCs w:val="24"/>
          <w:lang w:val="en-GB"/>
        </w:rPr>
        <w:t xml:space="preserve">independent </w:t>
      </w:r>
      <w:r w:rsidR="00817594" w:rsidRPr="00D9330B">
        <w:rPr>
          <w:rFonts w:ascii="Times New Roman" w:hAnsi="Times New Roman" w:cs="Times New Roman"/>
          <w:sz w:val="24"/>
          <w:szCs w:val="24"/>
          <w:lang w:val="en-GB"/>
        </w:rPr>
        <w:t>variables</w:t>
      </w:r>
      <w:r w:rsidR="009D3AC9" w:rsidRPr="00D9330B">
        <w:rPr>
          <w:rFonts w:ascii="Times New Roman" w:hAnsi="Times New Roman" w:cs="Times New Roman"/>
          <w:sz w:val="24"/>
          <w:szCs w:val="24"/>
          <w:lang w:val="en-GB"/>
        </w:rPr>
        <w:t xml:space="preserve"> in ord</w:t>
      </w:r>
      <w:r w:rsidR="00606235" w:rsidRPr="00D9330B">
        <w:rPr>
          <w:rFonts w:ascii="Times New Roman" w:hAnsi="Times New Roman" w:cs="Times New Roman"/>
          <w:sz w:val="24"/>
          <w:szCs w:val="24"/>
          <w:lang w:val="en-GB"/>
        </w:rPr>
        <w:t>er to explore</w:t>
      </w:r>
      <w:r w:rsidR="00BC435E" w:rsidRPr="00D9330B">
        <w:rPr>
          <w:rFonts w:ascii="Times New Roman" w:hAnsi="Times New Roman" w:cs="Times New Roman"/>
          <w:sz w:val="24"/>
          <w:szCs w:val="24"/>
          <w:lang w:val="en-GB"/>
        </w:rPr>
        <w:t xml:space="preserve"> the effects of others</w:t>
      </w:r>
      <w:r w:rsidR="00817594" w:rsidRPr="00D9330B">
        <w:rPr>
          <w:rFonts w:ascii="Times New Roman" w:hAnsi="Times New Roman" w:cs="Times New Roman"/>
          <w:sz w:val="24"/>
          <w:szCs w:val="24"/>
          <w:lang w:val="en-GB"/>
        </w:rPr>
        <w:t>,</w:t>
      </w:r>
      <w:r w:rsidR="00AA458F" w:rsidRPr="00D9330B">
        <w:rPr>
          <w:rStyle w:val="FootnoteReference"/>
          <w:rFonts w:ascii="Times New Roman" w:hAnsi="Times New Roman" w:cs="Times New Roman"/>
          <w:sz w:val="24"/>
          <w:szCs w:val="24"/>
          <w:lang w:val="en-GB"/>
        </w:rPr>
        <w:footnoteReference w:id="6"/>
      </w:r>
      <w:r w:rsidR="00F70884" w:rsidRPr="00D9330B">
        <w:rPr>
          <w:rFonts w:ascii="Times New Roman" w:hAnsi="Times New Roman" w:cs="Times New Roman"/>
          <w:sz w:val="24"/>
          <w:szCs w:val="24"/>
          <w:lang w:val="en-GB"/>
        </w:rPr>
        <w:t xml:space="preserve"> </w:t>
      </w:r>
      <w:r w:rsidR="002B1100" w:rsidRPr="00D9330B">
        <w:rPr>
          <w:rFonts w:ascii="Times New Roman" w:hAnsi="Times New Roman" w:cs="Times New Roman"/>
          <w:sz w:val="24"/>
          <w:szCs w:val="24"/>
          <w:lang w:val="en-GB"/>
        </w:rPr>
        <w:t>since all four countries</w:t>
      </w:r>
      <w:r w:rsidR="00817594" w:rsidRPr="00D9330B">
        <w:rPr>
          <w:rFonts w:ascii="Times New Roman" w:hAnsi="Times New Roman" w:cs="Times New Roman"/>
          <w:sz w:val="24"/>
          <w:szCs w:val="24"/>
          <w:lang w:val="en-GB"/>
        </w:rPr>
        <w:t xml:space="preserve"> are upper middle income democracies</w:t>
      </w:r>
      <w:r w:rsidR="00875B91" w:rsidRPr="00D9330B">
        <w:rPr>
          <w:rFonts w:ascii="Times New Roman" w:hAnsi="Times New Roman" w:cs="Times New Roman"/>
          <w:sz w:val="24"/>
          <w:szCs w:val="24"/>
          <w:lang w:val="en-GB"/>
        </w:rPr>
        <w:t xml:space="preserve"> and both</w:t>
      </w:r>
      <w:r w:rsidR="00BC435E" w:rsidRPr="00D9330B">
        <w:rPr>
          <w:rFonts w:ascii="Times New Roman" w:hAnsi="Times New Roman" w:cs="Times New Roman"/>
          <w:sz w:val="24"/>
          <w:szCs w:val="24"/>
          <w:lang w:val="en-GB"/>
        </w:rPr>
        <w:t xml:space="preserve"> development</w:t>
      </w:r>
      <w:r w:rsidR="00587602" w:rsidRPr="00D9330B">
        <w:rPr>
          <w:rFonts w:ascii="Times New Roman" w:hAnsi="Times New Roman" w:cs="Times New Roman"/>
          <w:sz w:val="24"/>
          <w:szCs w:val="24"/>
          <w:lang w:val="en-GB"/>
        </w:rPr>
        <w:t xml:space="preserve"> and po</w:t>
      </w:r>
      <w:r w:rsidR="00BC435E" w:rsidRPr="00D9330B">
        <w:rPr>
          <w:rFonts w:ascii="Times New Roman" w:hAnsi="Times New Roman" w:cs="Times New Roman"/>
          <w:sz w:val="24"/>
          <w:szCs w:val="24"/>
          <w:lang w:val="en-GB"/>
        </w:rPr>
        <w:t>litical regime</w:t>
      </w:r>
      <w:r w:rsidR="00587602" w:rsidRPr="00D9330B">
        <w:rPr>
          <w:rFonts w:ascii="Times New Roman" w:hAnsi="Times New Roman" w:cs="Times New Roman"/>
          <w:sz w:val="24"/>
          <w:szCs w:val="24"/>
          <w:lang w:val="en-GB"/>
        </w:rPr>
        <w:t xml:space="preserve"> are typically viewed as key determinants of the tax burden.</w:t>
      </w:r>
      <w:r w:rsidR="00316DD7" w:rsidRPr="00D9330B">
        <w:rPr>
          <w:rStyle w:val="FootnoteReference"/>
          <w:rFonts w:ascii="Times New Roman" w:hAnsi="Times New Roman" w:cs="Times New Roman"/>
          <w:sz w:val="24"/>
          <w:szCs w:val="24"/>
          <w:lang w:val="en-GB"/>
        </w:rPr>
        <w:footnoteReference w:id="7"/>
      </w:r>
      <w:r w:rsidR="00F82F93" w:rsidRPr="00D9330B">
        <w:rPr>
          <w:rFonts w:ascii="Times New Roman" w:hAnsi="Times New Roman" w:cs="Times New Roman"/>
          <w:sz w:val="24"/>
          <w:szCs w:val="24"/>
          <w:lang w:val="en-GB"/>
        </w:rPr>
        <w:t xml:space="preserve"> </w:t>
      </w:r>
      <w:r w:rsidR="007D0102" w:rsidRPr="00D9330B">
        <w:rPr>
          <w:rFonts w:ascii="Times New Roman" w:hAnsi="Times New Roman" w:cs="Times New Roman"/>
          <w:sz w:val="24"/>
          <w:szCs w:val="24"/>
          <w:lang w:val="en-GB"/>
        </w:rPr>
        <w:t>The</w:t>
      </w:r>
      <w:r w:rsidR="008B7F45" w:rsidRPr="00D9330B">
        <w:rPr>
          <w:rFonts w:ascii="Times New Roman" w:hAnsi="Times New Roman" w:cs="Times New Roman"/>
          <w:sz w:val="24"/>
          <w:szCs w:val="24"/>
          <w:lang w:val="en-GB"/>
        </w:rPr>
        <w:t xml:space="preserve"> article is part of </w:t>
      </w:r>
      <w:r w:rsidR="007B0874" w:rsidRPr="00D9330B">
        <w:rPr>
          <w:rFonts w:ascii="Times New Roman" w:hAnsi="Times New Roman" w:cs="Times New Roman"/>
          <w:sz w:val="24"/>
          <w:szCs w:val="24"/>
          <w:lang w:val="en-GB"/>
        </w:rPr>
        <w:t>the</w:t>
      </w:r>
      <w:r w:rsidR="00954A3B" w:rsidRPr="00D9330B">
        <w:rPr>
          <w:rFonts w:ascii="Times New Roman" w:hAnsi="Times New Roman" w:cs="Times New Roman"/>
          <w:sz w:val="24"/>
          <w:szCs w:val="24"/>
          <w:lang w:val="en-GB"/>
        </w:rPr>
        <w:t xml:space="preserve"> </w:t>
      </w:r>
      <w:r w:rsidR="008B7F45" w:rsidRPr="00D9330B">
        <w:rPr>
          <w:rFonts w:ascii="Times New Roman" w:hAnsi="Times New Roman" w:cs="Times New Roman"/>
          <w:sz w:val="24"/>
          <w:szCs w:val="24"/>
          <w:lang w:val="en-GB"/>
        </w:rPr>
        <w:t>larger tradition of comparative historical analysis</w:t>
      </w:r>
      <w:r w:rsidR="00954A3B" w:rsidRPr="00D9330B">
        <w:rPr>
          <w:rFonts w:ascii="Times New Roman" w:hAnsi="Times New Roman" w:cs="Times New Roman"/>
          <w:sz w:val="24"/>
          <w:szCs w:val="24"/>
          <w:lang w:val="en-GB"/>
        </w:rPr>
        <w:t>, which</w:t>
      </w:r>
      <w:r w:rsidR="00332BD7" w:rsidRPr="00D9330B">
        <w:rPr>
          <w:rFonts w:ascii="Times New Roman" w:hAnsi="Times New Roman" w:cs="Times New Roman"/>
          <w:sz w:val="24"/>
          <w:szCs w:val="24"/>
          <w:lang w:val="en-GB"/>
        </w:rPr>
        <w:t xml:space="preserve"> draw</w:t>
      </w:r>
      <w:r w:rsidR="005979CD" w:rsidRPr="00D9330B">
        <w:rPr>
          <w:rFonts w:ascii="Times New Roman" w:hAnsi="Times New Roman" w:cs="Times New Roman"/>
          <w:sz w:val="24"/>
          <w:szCs w:val="24"/>
          <w:lang w:val="en-GB"/>
        </w:rPr>
        <w:t>s</w:t>
      </w:r>
      <w:r w:rsidR="00332BD7" w:rsidRPr="00D9330B">
        <w:rPr>
          <w:rFonts w:ascii="Times New Roman" w:hAnsi="Times New Roman" w:cs="Times New Roman"/>
          <w:sz w:val="24"/>
          <w:szCs w:val="24"/>
          <w:lang w:val="en-GB"/>
        </w:rPr>
        <w:t xml:space="preserve"> causal i</w:t>
      </w:r>
      <w:r w:rsidR="0099174A" w:rsidRPr="00D9330B">
        <w:rPr>
          <w:rFonts w:ascii="Times New Roman" w:hAnsi="Times New Roman" w:cs="Times New Roman"/>
          <w:sz w:val="24"/>
          <w:szCs w:val="24"/>
          <w:lang w:val="en-GB"/>
        </w:rPr>
        <w:t xml:space="preserve">nferences by tracing </w:t>
      </w:r>
      <w:r w:rsidR="004C5193" w:rsidRPr="00D9330B">
        <w:rPr>
          <w:rFonts w:ascii="Times New Roman" w:hAnsi="Times New Roman" w:cs="Times New Roman"/>
          <w:sz w:val="24"/>
          <w:szCs w:val="24"/>
          <w:lang w:val="en-GB"/>
        </w:rPr>
        <w:t xml:space="preserve">temporal </w:t>
      </w:r>
      <w:r w:rsidR="0099174A" w:rsidRPr="00D9330B">
        <w:rPr>
          <w:rFonts w:ascii="Times New Roman" w:hAnsi="Times New Roman" w:cs="Times New Roman"/>
          <w:sz w:val="24"/>
          <w:szCs w:val="24"/>
          <w:lang w:val="en-GB"/>
        </w:rPr>
        <w:t>sequences of events and comparing them</w:t>
      </w:r>
      <w:r w:rsidR="00332BD7" w:rsidRPr="00D9330B">
        <w:rPr>
          <w:rFonts w:ascii="Times New Roman" w:hAnsi="Times New Roman" w:cs="Times New Roman"/>
          <w:sz w:val="24"/>
          <w:szCs w:val="24"/>
          <w:lang w:val="en-GB"/>
        </w:rPr>
        <w:t xml:space="preserve"> </w:t>
      </w:r>
      <w:r w:rsidR="00332BD7" w:rsidRPr="00D9330B">
        <w:rPr>
          <w:rFonts w:ascii="Times New Roman" w:hAnsi="Times New Roman" w:cs="Times New Roman"/>
          <w:sz w:val="24"/>
          <w:szCs w:val="24"/>
          <w:lang w:val="en-GB"/>
        </w:rPr>
        <w:lastRenderedPageBreak/>
        <w:t>across polities</w:t>
      </w:r>
      <w:r w:rsidR="008B7F45" w:rsidRPr="00D9330B">
        <w:rPr>
          <w:rFonts w:ascii="Times New Roman" w:hAnsi="Times New Roman" w:cs="Times New Roman"/>
          <w:sz w:val="24"/>
          <w:szCs w:val="24"/>
          <w:lang w:val="en-GB"/>
        </w:rPr>
        <w:t>.</w:t>
      </w:r>
      <w:r w:rsidR="008B7F45" w:rsidRPr="00D9330B">
        <w:rPr>
          <w:rStyle w:val="FootnoteReference"/>
          <w:rFonts w:ascii="Times New Roman" w:hAnsi="Times New Roman" w:cs="Times New Roman"/>
          <w:sz w:val="24"/>
          <w:szCs w:val="24"/>
          <w:lang w:val="en-GB"/>
        </w:rPr>
        <w:footnoteReference w:id="8"/>
      </w:r>
      <w:r w:rsidR="00F82F93" w:rsidRPr="00D9330B">
        <w:rPr>
          <w:rFonts w:ascii="Times New Roman" w:hAnsi="Times New Roman" w:cs="Times New Roman"/>
          <w:sz w:val="24"/>
          <w:szCs w:val="24"/>
          <w:lang w:val="en-GB"/>
        </w:rPr>
        <w:t xml:space="preserve"> It</w:t>
      </w:r>
      <w:r w:rsidR="00954A3B" w:rsidRPr="00D9330B">
        <w:rPr>
          <w:rFonts w:ascii="Times New Roman" w:hAnsi="Times New Roman" w:cs="Times New Roman"/>
          <w:sz w:val="24"/>
          <w:szCs w:val="24"/>
          <w:lang w:val="en-GB"/>
        </w:rPr>
        <w:t>s</w:t>
      </w:r>
      <w:r w:rsidR="009E40A1" w:rsidRPr="00D9330B">
        <w:rPr>
          <w:rFonts w:ascii="Times New Roman" w:hAnsi="Times New Roman" w:cs="Times New Roman"/>
          <w:sz w:val="24"/>
          <w:szCs w:val="24"/>
          <w:lang w:val="en-GB"/>
        </w:rPr>
        <w:t xml:space="preserve"> qualitative methodology</w:t>
      </w:r>
      <w:r w:rsidR="00954A3B" w:rsidRPr="00D9330B">
        <w:rPr>
          <w:rFonts w:ascii="Times New Roman" w:hAnsi="Times New Roman" w:cs="Times New Roman"/>
          <w:sz w:val="24"/>
          <w:szCs w:val="24"/>
          <w:lang w:val="en-GB"/>
        </w:rPr>
        <w:t xml:space="preserve"> comple</w:t>
      </w:r>
      <w:r w:rsidR="00006F61" w:rsidRPr="00D9330B">
        <w:rPr>
          <w:rFonts w:ascii="Times New Roman" w:hAnsi="Times New Roman" w:cs="Times New Roman"/>
          <w:sz w:val="24"/>
          <w:szCs w:val="24"/>
          <w:lang w:val="en-GB"/>
        </w:rPr>
        <w:t>ment</w:t>
      </w:r>
      <w:r w:rsidR="00F82F93" w:rsidRPr="00D9330B">
        <w:rPr>
          <w:rFonts w:ascii="Times New Roman" w:hAnsi="Times New Roman" w:cs="Times New Roman"/>
          <w:sz w:val="24"/>
          <w:szCs w:val="24"/>
          <w:lang w:val="en-GB"/>
        </w:rPr>
        <w:t>s</w:t>
      </w:r>
      <w:r w:rsidR="0025725A">
        <w:rPr>
          <w:rFonts w:ascii="Times New Roman" w:hAnsi="Times New Roman" w:cs="Times New Roman"/>
          <w:sz w:val="24"/>
          <w:szCs w:val="24"/>
          <w:lang w:val="en-GB"/>
        </w:rPr>
        <w:t xml:space="preserve"> </w:t>
      </w:r>
      <w:r w:rsidR="00351277">
        <w:rPr>
          <w:rFonts w:ascii="Times New Roman" w:hAnsi="Times New Roman" w:cs="Times New Roman"/>
          <w:sz w:val="24"/>
          <w:szCs w:val="24"/>
          <w:lang w:val="en-GB"/>
        </w:rPr>
        <w:t xml:space="preserve">the </w:t>
      </w:r>
      <w:r w:rsidR="009F47BC">
        <w:rPr>
          <w:rFonts w:ascii="Times New Roman" w:hAnsi="Times New Roman" w:cs="Times New Roman"/>
          <w:sz w:val="24"/>
          <w:szCs w:val="24"/>
          <w:lang w:val="en-GB"/>
        </w:rPr>
        <w:t>large-N</w:t>
      </w:r>
      <w:r w:rsidR="0025725A">
        <w:rPr>
          <w:rFonts w:ascii="Times New Roman" w:hAnsi="Times New Roman" w:cs="Times New Roman"/>
          <w:sz w:val="24"/>
          <w:szCs w:val="24"/>
          <w:lang w:val="en-GB"/>
        </w:rPr>
        <w:t xml:space="preserve"> work that</w:t>
      </w:r>
      <w:r w:rsidR="00CE22D4" w:rsidRPr="00D9330B">
        <w:rPr>
          <w:rFonts w:ascii="Times New Roman" w:hAnsi="Times New Roman" w:cs="Times New Roman"/>
          <w:sz w:val="24"/>
          <w:szCs w:val="24"/>
          <w:lang w:val="en-GB"/>
        </w:rPr>
        <w:t xml:space="preserve"> constitute</w:t>
      </w:r>
      <w:r w:rsidR="0025725A">
        <w:rPr>
          <w:rFonts w:ascii="Times New Roman" w:hAnsi="Times New Roman" w:cs="Times New Roman"/>
          <w:sz w:val="24"/>
          <w:szCs w:val="24"/>
          <w:lang w:val="en-GB"/>
        </w:rPr>
        <w:t>s</w:t>
      </w:r>
      <w:r w:rsidR="00351277">
        <w:rPr>
          <w:rFonts w:ascii="Times New Roman" w:hAnsi="Times New Roman" w:cs="Times New Roman"/>
          <w:sz w:val="24"/>
          <w:szCs w:val="24"/>
          <w:lang w:val="en-GB"/>
        </w:rPr>
        <w:t xml:space="preserve"> the most common</w:t>
      </w:r>
      <w:r w:rsidR="00C6316C" w:rsidRPr="00D9330B">
        <w:rPr>
          <w:rFonts w:ascii="Times New Roman" w:hAnsi="Times New Roman" w:cs="Times New Roman"/>
          <w:sz w:val="24"/>
          <w:szCs w:val="24"/>
          <w:lang w:val="en-GB"/>
        </w:rPr>
        <w:t xml:space="preserve"> approach to explor</w:t>
      </w:r>
      <w:r w:rsidR="00F82F93" w:rsidRPr="00D9330B">
        <w:rPr>
          <w:rFonts w:ascii="Times New Roman" w:hAnsi="Times New Roman" w:cs="Times New Roman"/>
          <w:sz w:val="24"/>
          <w:szCs w:val="24"/>
          <w:lang w:val="en-GB"/>
        </w:rPr>
        <w:t>ing</w:t>
      </w:r>
      <w:r w:rsidR="00B4362B" w:rsidRPr="00D9330B">
        <w:rPr>
          <w:rFonts w:ascii="Times New Roman" w:hAnsi="Times New Roman" w:cs="Times New Roman"/>
          <w:sz w:val="24"/>
          <w:szCs w:val="24"/>
          <w:lang w:val="en-GB"/>
        </w:rPr>
        <w:t xml:space="preserve"> the determinants of taxation level</w:t>
      </w:r>
      <w:r w:rsidR="00006F61" w:rsidRPr="00D9330B">
        <w:rPr>
          <w:rFonts w:ascii="Times New Roman" w:hAnsi="Times New Roman" w:cs="Times New Roman"/>
          <w:sz w:val="24"/>
          <w:szCs w:val="24"/>
          <w:lang w:val="en-GB"/>
        </w:rPr>
        <w:t>.</w:t>
      </w:r>
    </w:p>
    <w:p w:rsidR="00EB28CA" w:rsidRPr="00D9330B" w:rsidRDefault="00BC435E" w:rsidP="009E6B31">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w:t>
      </w:r>
      <w:r w:rsidR="00B05EA4" w:rsidRPr="00D9330B">
        <w:rPr>
          <w:rFonts w:ascii="Times New Roman" w:hAnsi="Times New Roman" w:cs="Times New Roman"/>
          <w:sz w:val="24"/>
          <w:szCs w:val="24"/>
          <w:lang w:val="en-GB"/>
        </w:rPr>
        <w:t xml:space="preserve"> argument developed below</w:t>
      </w:r>
      <w:r w:rsidR="00DC237D" w:rsidRPr="00D9330B">
        <w:rPr>
          <w:rFonts w:ascii="Times New Roman" w:hAnsi="Times New Roman" w:cs="Times New Roman"/>
          <w:sz w:val="24"/>
          <w:szCs w:val="24"/>
          <w:lang w:val="en-GB"/>
        </w:rPr>
        <w:t xml:space="preserve"> underscores</w:t>
      </w:r>
      <w:r w:rsidR="002142DB" w:rsidRPr="00D9330B">
        <w:rPr>
          <w:rFonts w:ascii="Times New Roman" w:hAnsi="Times New Roman" w:cs="Times New Roman"/>
          <w:sz w:val="24"/>
          <w:szCs w:val="24"/>
          <w:lang w:val="en-GB"/>
        </w:rPr>
        <w:t xml:space="preserve"> the</w:t>
      </w:r>
      <w:r w:rsidR="008D01FE" w:rsidRPr="00D9330B">
        <w:rPr>
          <w:rFonts w:ascii="Times New Roman" w:hAnsi="Times New Roman" w:cs="Times New Roman"/>
          <w:sz w:val="24"/>
          <w:szCs w:val="24"/>
          <w:lang w:val="en-GB"/>
        </w:rPr>
        <w:t xml:space="preserve"> shifting</w:t>
      </w:r>
      <w:r w:rsidR="002142DB" w:rsidRPr="00D9330B">
        <w:rPr>
          <w:rFonts w:ascii="Times New Roman" w:hAnsi="Times New Roman" w:cs="Times New Roman"/>
          <w:sz w:val="24"/>
          <w:szCs w:val="24"/>
          <w:lang w:val="en-GB"/>
        </w:rPr>
        <w:t xml:space="preserve"> interaction between</w:t>
      </w:r>
      <w:r w:rsidR="00EB28CA" w:rsidRPr="00D9330B">
        <w:rPr>
          <w:rFonts w:ascii="Times New Roman" w:hAnsi="Times New Roman" w:cs="Times New Roman"/>
          <w:sz w:val="24"/>
          <w:szCs w:val="24"/>
          <w:lang w:val="en-GB"/>
        </w:rPr>
        <w:t xml:space="preserve"> two</w:t>
      </w:r>
      <w:r w:rsidR="00176B48">
        <w:rPr>
          <w:rFonts w:ascii="Times New Roman" w:hAnsi="Times New Roman" w:cs="Times New Roman"/>
          <w:sz w:val="24"/>
          <w:szCs w:val="24"/>
          <w:lang w:val="en-GB"/>
        </w:rPr>
        <w:t xml:space="preserve"> main</w:t>
      </w:r>
      <w:r w:rsidR="00EB28CA" w:rsidRPr="00D9330B">
        <w:rPr>
          <w:rFonts w:ascii="Times New Roman" w:hAnsi="Times New Roman" w:cs="Times New Roman"/>
          <w:sz w:val="24"/>
          <w:szCs w:val="24"/>
          <w:lang w:val="en-GB"/>
        </w:rPr>
        <w:t xml:space="preserve"> variables</w:t>
      </w:r>
      <w:r w:rsidR="003515B1" w:rsidRPr="00D9330B">
        <w:rPr>
          <w:rFonts w:ascii="Times New Roman" w:hAnsi="Times New Roman" w:cs="Times New Roman"/>
          <w:sz w:val="24"/>
          <w:szCs w:val="24"/>
          <w:lang w:val="en-GB"/>
        </w:rPr>
        <w:t>:</w:t>
      </w:r>
      <w:r w:rsidR="00926EF3" w:rsidRPr="00D9330B">
        <w:rPr>
          <w:rFonts w:ascii="Times New Roman" w:hAnsi="Times New Roman" w:cs="Times New Roman"/>
          <w:sz w:val="24"/>
          <w:szCs w:val="24"/>
          <w:lang w:val="en-GB"/>
        </w:rPr>
        <w:t xml:space="preserve"> the social class base</w:t>
      </w:r>
      <w:r w:rsidR="00B17E74" w:rsidRPr="00D9330B">
        <w:rPr>
          <w:rFonts w:ascii="Times New Roman" w:hAnsi="Times New Roman" w:cs="Times New Roman"/>
          <w:sz w:val="24"/>
          <w:szCs w:val="24"/>
          <w:lang w:val="en-GB"/>
        </w:rPr>
        <w:t>s of</w:t>
      </w:r>
      <w:r w:rsidR="00EB28CA" w:rsidRPr="00D9330B">
        <w:rPr>
          <w:rFonts w:ascii="Times New Roman" w:hAnsi="Times New Roman" w:cs="Times New Roman"/>
          <w:sz w:val="24"/>
          <w:szCs w:val="24"/>
          <w:lang w:val="en-GB"/>
        </w:rPr>
        <w:t xml:space="preserve"> publi</w:t>
      </w:r>
      <w:r w:rsidR="003663C3" w:rsidRPr="00D9330B">
        <w:rPr>
          <w:rFonts w:ascii="Times New Roman" w:hAnsi="Times New Roman" w:cs="Times New Roman"/>
          <w:sz w:val="24"/>
          <w:szCs w:val="24"/>
          <w:lang w:val="en-GB"/>
        </w:rPr>
        <w:t>c sector growth and the political climate for democracy</w:t>
      </w:r>
      <w:r w:rsidR="001A2DFD" w:rsidRPr="00D9330B">
        <w:rPr>
          <w:rFonts w:ascii="Times New Roman" w:hAnsi="Times New Roman" w:cs="Times New Roman"/>
          <w:sz w:val="24"/>
          <w:szCs w:val="24"/>
          <w:lang w:val="en-GB"/>
        </w:rPr>
        <w:t>. The former</w:t>
      </w:r>
      <w:r w:rsidR="00A37794" w:rsidRPr="00D9330B">
        <w:rPr>
          <w:rFonts w:ascii="Times New Roman" w:hAnsi="Times New Roman" w:cs="Times New Roman"/>
          <w:sz w:val="24"/>
          <w:szCs w:val="24"/>
          <w:lang w:val="en-GB"/>
        </w:rPr>
        <w:t xml:space="preserve"> refers</w:t>
      </w:r>
      <w:r w:rsidR="001A2DFD" w:rsidRPr="00D9330B">
        <w:rPr>
          <w:rFonts w:ascii="Times New Roman" w:hAnsi="Times New Roman" w:cs="Times New Roman"/>
          <w:sz w:val="24"/>
          <w:szCs w:val="24"/>
          <w:lang w:val="en-GB"/>
        </w:rPr>
        <w:t xml:space="preserve"> to the r</w:t>
      </w:r>
      <w:r w:rsidR="00A37794" w:rsidRPr="00D9330B">
        <w:rPr>
          <w:rFonts w:ascii="Times New Roman" w:hAnsi="Times New Roman" w:cs="Times New Roman"/>
          <w:sz w:val="24"/>
          <w:szCs w:val="24"/>
          <w:lang w:val="en-GB"/>
        </w:rPr>
        <w:t>elative importance of</w:t>
      </w:r>
      <w:r w:rsidR="001A2DFD" w:rsidRPr="00D9330B">
        <w:rPr>
          <w:rFonts w:ascii="Times New Roman" w:hAnsi="Times New Roman" w:cs="Times New Roman"/>
          <w:sz w:val="24"/>
          <w:szCs w:val="24"/>
          <w:lang w:val="en-GB"/>
        </w:rPr>
        <w:t xml:space="preserve"> demands for redistribution</w:t>
      </w:r>
      <w:r w:rsidR="003663C3" w:rsidRPr="00D9330B">
        <w:rPr>
          <w:rFonts w:ascii="Times New Roman" w:hAnsi="Times New Roman" w:cs="Times New Roman"/>
          <w:sz w:val="24"/>
          <w:szCs w:val="24"/>
          <w:lang w:val="en-GB"/>
        </w:rPr>
        <w:t xml:space="preserve"> by</w:t>
      </w:r>
      <w:r w:rsidR="00D3548A" w:rsidRPr="00D9330B">
        <w:rPr>
          <w:rFonts w:ascii="Times New Roman" w:hAnsi="Times New Roman" w:cs="Times New Roman"/>
          <w:sz w:val="24"/>
          <w:szCs w:val="24"/>
          <w:lang w:val="en-GB"/>
        </w:rPr>
        <w:t xml:space="preserve"> non-elite, or </w:t>
      </w:r>
      <w:r w:rsidRPr="00D9330B">
        <w:rPr>
          <w:rFonts w:ascii="Times New Roman" w:hAnsi="Times New Roman" w:cs="Times New Roman"/>
          <w:sz w:val="24"/>
          <w:szCs w:val="24"/>
          <w:lang w:val="en-GB"/>
        </w:rPr>
        <w:t>‘</w:t>
      </w:r>
      <w:r w:rsidR="00D3548A" w:rsidRPr="00D9330B">
        <w:rPr>
          <w:rFonts w:ascii="Times New Roman" w:hAnsi="Times New Roman" w:cs="Times New Roman"/>
          <w:sz w:val="24"/>
          <w:szCs w:val="24"/>
          <w:lang w:val="en-GB"/>
        </w:rPr>
        <w:t>popular</w:t>
      </w:r>
      <w:r w:rsidRPr="00D9330B">
        <w:rPr>
          <w:rFonts w:ascii="Times New Roman" w:hAnsi="Times New Roman" w:cs="Times New Roman"/>
          <w:sz w:val="24"/>
          <w:szCs w:val="24"/>
          <w:lang w:val="en-GB"/>
        </w:rPr>
        <w:t>’</w:t>
      </w:r>
      <w:r w:rsidR="00A37794" w:rsidRPr="00D9330B">
        <w:rPr>
          <w:rFonts w:ascii="Times New Roman" w:hAnsi="Times New Roman" w:cs="Times New Roman"/>
          <w:sz w:val="24"/>
          <w:szCs w:val="24"/>
          <w:lang w:val="en-GB"/>
        </w:rPr>
        <w:t xml:space="preserve"> </w:t>
      </w:r>
      <w:r w:rsidR="00C75D03" w:rsidRPr="00D9330B">
        <w:rPr>
          <w:rFonts w:ascii="Times New Roman" w:hAnsi="Times New Roman" w:cs="Times New Roman"/>
          <w:sz w:val="24"/>
          <w:szCs w:val="24"/>
          <w:lang w:val="en-GB"/>
        </w:rPr>
        <w:t xml:space="preserve">sector </w:t>
      </w:r>
      <w:r w:rsidR="00A37794" w:rsidRPr="00D9330B">
        <w:rPr>
          <w:rFonts w:ascii="Times New Roman" w:hAnsi="Times New Roman" w:cs="Times New Roman"/>
          <w:sz w:val="24"/>
          <w:szCs w:val="24"/>
          <w:lang w:val="en-GB"/>
        </w:rPr>
        <w:t>groups</w:t>
      </w:r>
      <w:r w:rsidR="00875F08" w:rsidRPr="00D9330B">
        <w:rPr>
          <w:rFonts w:ascii="Times New Roman" w:hAnsi="Times New Roman" w:cs="Times New Roman"/>
          <w:sz w:val="24"/>
          <w:szCs w:val="24"/>
          <w:lang w:val="en-GB"/>
        </w:rPr>
        <w:t xml:space="preserve"> in driving state expansion</w:t>
      </w:r>
      <w:r w:rsidR="001A2DFD" w:rsidRPr="00D9330B">
        <w:rPr>
          <w:rFonts w:ascii="Times New Roman" w:hAnsi="Times New Roman" w:cs="Times New Roman"/>
          <w:sz w:val="24"/>
          <w:szCs w:val="24"/>
          <w:lang w:val="en-GB"/>
        </w:rPr>
        <w:t xml:space="preserve">, while the latter </w:t>
      </w:r>
      <w:r w:rsidR="009C089D" w:rsidRPr="00D9330B">
        <w:rPr>
          <w:rFonts w:ascii="Times New Roman" w:hAnsi="Times New Roman" w:cs="Times New Roman"/>
          <w:sz w:val="24"/>
          <w:szCs w:val="24"/>
          <w:lang w:val="en-GB"/>
        </w:rPr>
        <w:t>refers to the degree</w:t>
      </w:r>
      <w:r w:rsidR="00BF3924" w:rsidRPr="00D9330B">
        <w:rPr>
          <w:rFonts w:ascii="Times New Roman" w:hAnsi="Times New Roman" w:cs="Times New Roman"/>
          <w:sz w:val="24"/>
          <w:szCs w:val="24"/>
          <w:lang w:val="en-GB"/>
        </w:rPr>
        <w:t xml:space="preserve"> to which</w:t>
      </w:r>
      <w:r w:rsidR="009C089D" w:rsidRPr="00D9330B">
        <w:rPr>
          <w:rFonts w:ascii="Times New Roman" w:hAnsi="Times New Roman" w:cs="Times New Roman"/>
          <w:sz w:val="24"/>
          <w:szCs w:val="24"/>
          <w:lang w:val="en-GB"/>
        </w:rPr>
        <w:t xml:space="preserve"> democracy</w:t>
      </w:r>
      <w:r w:rsidR="00A05EB2">
        <w:rPr>
          <w:rFonts w:ascii="Times New Roman" w:hAnsi="Times New Roman" w:cs="Times New Roman"/>
          <w:sz w:val="24"/>
          <w:szCs w:val="24"/>
          <w:lang w:val="en-GB"/>
        </w:rPr>
        <w:t xml:space="preserve"> is prioritis</w:t>
      </w:r>
      <w:r w:rsidR="002F05BB" w:rsidRPr="00D9330B">
        <w:rPr>
          <w:rFonts w:ascii="Times New Roman" w:hAnsi="Times New Roman" w:cs="Times New Roman"/>
          <w:sz w:val="24"/>
          <w:szCs w:val="24"/>
          <w:lang w:val="en-GB"/>
        </w:rPr>
        <w:t>ed</w:t>
      </w:r>
      <w:r w:rsidR="008C63C0" w:rsidRPr="00D9330B">
        <w:rPr>
          <w:rFonts w:ascii="Times New Roman" w:hAnsi="Times New Roman" w:cs="Times New Roman"/>
          <w:sz w:val="24"/>
          <w:szCs w:val="24"/>
          <w:lang w:val="en-GB"/>
        </w:rPr>
        <w:t>, both by domestic</w:t>
      </w:r>
      <w:r w:rsidRPr="00D9330B">
        <w:rPr>
          <w:rFonts w:ascii="Times New Roman" w:hAnsi="Times New Roman" w:cs="Times New Roman"/>
          <w:sz w:val="24"/>
          <w:szCs w:val="24"/>
          <w:lang w:val="en-GB"/>
        </w:rPr>
        <w:t xml:space="preserve"> elites and</w:t>
      </w:r>
      <w:r w:rsidR="009C089D" w:rsidRPr="00D9330B">
        <w:rPr>
          <w:rFonts w:ascii="Times New Roman" w:hAnsi="Times New Roman" w:cs="Times New Roman"/>
          <w:sz w:val="24"/>
          <w:szCs w:val="24"/>
          <w:lang w:val="en-GB"/>
        </w:rPr>
        <w:t xml:space="preserve"> </w:t>
      </w:r>
      <w:r w:rsidR="007728BA">
        <w:rPr>
          <w:rFonts w:ascii="Times New Roman" w:hAnsi="Times New Roman" w:cs="Times New Roman"/>
          <w:sz w:val="24"/>
          <w:szCs w:val="24"/>
          <w:lang w:val="en-GB"/>
        </w:rPr>
        <w:t xml:space="preserve">influential </w:t>
      </w:r>
      <w:r w:rsidR="009C089D" w:rsidRPr="00D9330B">
        <w:rPr>
          <w:rFonts w:ascii="Times New Roman" w:hAnsi="Times New Roman" w:cs="Times New Roman"/>
          <w:sz w:val="24"/>
          <w:szCs w:val="24"/>
          <w:lang w:val="en-GB"/>
        </w:rPr>
        <w:t>foreign actors.</w:t>
      </w:r>
      <w:r w:rsidRPr="00D9330B">
        <w:rPr>
          <w:rStyle w:val="FootnoteReference"/>
          <w:rFonts w:ascii="Times New Roman" w:hAnsi="Times New Roman" w:cs="Times New Roman"/>
          <w:sz w:val="24"/>
          <w:szCs w:val="24"/>
          <w:lang w:val="en-GB"/>
        </w:rPr>
        <w:footnoteReference w:id="9"/>
      </w:r>
      <w:r w:rsidR="009C089D" w:rsidRPr="00D9330B">
        <w:rPr>
          <w:rFonts w:ascii="Times New Roman" w:hAnsi="Times New Roman" w:cs="Times New Roman"/>
          <w:sz w:val="24"/>
          <w:szCs w:val="24"/>
          <w:lang w:val="en-GB"/>
        </w:rPr>
        <w:t xml:space="preserve"> Although both variable</w:t>
      </w:r>
      <w:r w:rsidR="00C73127" w:rsidRPr="00D9330B">
        <w:rPr>
          <w:rFonts w:ascii="Times New Roman" w:hAnsi="Times New Roman" w:cs="Times New Roman"/>
          <w:sz w:val="24"/>
          <w:szCs w:val="24"/>
          <w:lang w:val="en-GB"/>
        </w:rPr>
        <w:t>s have shifted over time,</w:t>
      </w:r>
      <w:r w:rsidR="003E606A" w:rsidRPr="00D9330B">
        <w:rPr>
          <w:rFonts w:ascii="Times New Roman" w:hAnsi="Times New Roman" w:cs="Times New Roman"/>
          <w:sz w:val="24"/>
          <w:szCs w:val="24"/>
          <w:lang w:val="en-GB"/>
        </w:rPr>
        <w:t xml:space="preserve"> </w:t>
      </w:r>
      <w:r w:rsidR="009C089D" w:rsidRPr="00D9330B">
        <w:rPr>
          <w:rFonts w:ascii="Times New Roman" w:hAnsi="Times New Roman" w:cs="Times New Roman"/>
          <w:sz w:val="24"/>
          <w:szCs w:val="24"/>
          <w:lang w:val="en-GB"/>
        </w:rPr>
        <w:t>they have done</w:t>
      </w:r>
      <w:r w:rsidR="00A37794" w:rsidRPr="00D9330B">
        <w:rPr>
          <w:rFonts w:ascii="Times New Roman" w:hAnsi="Times New Roman" w:cs="Times New Roman"/>
          <w:sz w:val="24"/>
          <w:szCs w:val="24"/>
          <w:lang w:val="en-GB"/>
        </w:rPr>
        <w:t xml:space="preserve"> so in ways that have</w:t>
      </w:r>
      <w:r w:rsidR="009C089D" w:rsidRPr="00D9330B">
        <w:rPr>
          <w:rFonts w:ascii="Times New Roman" w:hAnsi="Times New Roman" w:cs="Times New Roman"/>
          <w:sz w:val="24"/>
          <w:szCs w:val="24"/>
          <w:lang w:val="en-GB"/>
        </w:rPr>
        <w:t xml:space="preserve"> consistently favoured higher taxation in Brazil.</w:t>
      </w:r>
    </w:p>
    <w:p w:rsidR="004D7673" w:rsidRPr="00D9330B" w:rsidRDefault="00A37794" w:rsidP="009E6B31">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Prior to the 1980s</w:t>
      </w:r>
      <w:r w:rsidR="003E606A" w:rsidRPr="00D9330B">
        <w:rPr>
          <w:rFonts w:ascii="Times New Roman" w:hAnsi="Times New Roman" w:cs="Times New Roman"/>
          <w:sz w:val="24"/>
          <w:szCs w:val="24"/>
          <w:lang w:val="en-GB"/>
        </w:rPr>
        <w:t xml:space="preserve"> the growth of the tax burden</w:t>
      </w:r>
      <w:r w:rsidRPr="00D9330B">
        <w:rPr>
          <w:rFonts w:ascii="Times New Roman" w:hAnsi="Times New Roman" w:cs="Times New Roman"/>
          <w:sz w:val="24"/>
          <w:szCs w:val="24"/>
          <w:lang w:val="en-GB"/>
        </w:rPr>
        <w:t xml:space="preserve"> in Brazil was less a function of popular</w:t>
      </w:r>
      <w:r w:rsidR="0005236F" w:rsidRPr="00D9330B">
        <w:rPr>
          <w:rFonts w:ascii="Times New Roman" w:hAnsi="Times New Roman" w:cs="Times New Roman"/>
          <w:sz w:val="24"/>
          <w:szCs w:val="24"/>
          <w:lang w:val="en-GB"/>
        </w:rPr>
        <w:t xml:space="preserve"> pressure</w:t>
      </w:r>
      <w:r w:rsidR="004D7673" w:rsidRPr="00D9330B">
        <w:rPr>
          <w:rFonts w:ascii="Times New Roman" w:hAnsi="Times New Roman" w:cs="Times New Roman"/>
          <w:sz w:val="24"/>
          <w:szCs w:val="24"/>
          <w:lang w:val="en-GB"/>
        </w:rPr>
        <w:t>s</w:t>
      </w:r>
      <w:r w:rsidR="00F95DDA" w:rsidRPr="00D9330B">
        <w:rPr>
          <w:rFonts w:ascii="Times New Roman" w:hAnsi="Times New Roman" w:cs="Times New Roman"/>
          <w:sz w:val="24"/>
          <w:szCs w:val="24"/>
          <w:lang w:val="en-GB"/>
        </w:rPr>
        <w:t xml:space="preserve"> for redistribution than</w:t>
      </w:r>
      <w:r w:rsidR="00931912" w:rsidRPr="00D9330B">
        <w:rPr>
          <w:rFonts w:ascii="Times New Roman" w:hAnsi="Times New Roman" w:cs="Times New Roman"/>
          <w:sz w:val="24"/>
          <w:szCs w:val="24"/>
          <w:lang w:val="en-GB"/>
        </w:rPr>
        <w:t xml:space="preserve"> in Argentina, Chile or</w:t>
      </w:r>
      <w:r w:rsidRPr="00D9330B">
        <w:rPr>
          <w:rFonts w:ascii="Times New Roman" w:hAnsi="Times New Roman" w:cs="Times New Roman"/>
          <w:sz w:val="24"/>
          <w:szCs w:val="24"/>
          <w:lang w:val="en-GB"/>
        </w:rPr>
        <w:t xml:space="preserve"> Uruguay, whe</w:t>
      </w:r>
      <w:r w:rsidR="000C025F" w:rsidRPr="00D9330B">
        <w:rPr>
          <w:rFonts w:ascii="Times New Roman" w:hAnsi="Times New Roman" w:cs="Times New Roman"/>
          <w:sz w:val="24"/>
          <w:szCs w:val="24"/>
          <w:lang w:val="en-GB"/>
        </w:rPr>
        <w:t>re higher levels of industrialisation and urbanis</w:t>
      </w:r>
      <w:r w:rsidR="008068AE" w:rsidRPr="00D9330B">
        <w:rPr>
          <w:rFonts w:ascii="Times New Roman" w:hAnsi="Times New Roman" w:cs="Times New Roman"/>
          <w:sz w:val="24"/>
          <w:szCs w:val="24"/>
          <w:lang w:val="en-GB"/>
        </w:rPr>
        <w:t>ation</w:t>
      </w:r>
      <w:r w:rsidR="004D7673" w:rsidRPr="00D9330B">
        <w:rPr>
          <w:rFonts w:ascii="Times New Roman" w:hAnsi="Times New Roman" w:cs="Times New Roman"/>
          <w:sz w:val="24"/>
          <w:szCs w:val="24"/>
          <w:lang w:val="en-GB"/>
        </w:rPr>
        <w:t xml:space="preserve"> fomented earlier</w:t>
      </w:r>
      <w:r w:rsidR="00875F08" w:rsidRPr="00D9330B">
        <w:rPr>
          <w:rFonts w:ascii="Times New Roman" w:hAnsi="Times New Roman" w:cs="Times New Roman"/>
          <w:sz w:val="24"/>
          <w:szCs w:val="24"/>
          <w:lang w:val="en-GB"/>
        </w:rPr>
        <w:t xml:space="preserve"> organis</w:t>
      </w:r>
      <w:r w:rsidRPr="00D9330B">
        <w:rPr>
          <w:rFonts w:ascii="Times New Roman" w:hAnsi="Times New Roman" w:cs="Times New Roman"/>
          <w:sz w:val="24"/>
          <w:szCs w:val="24"/>
          <w:lang w:val="en-GB"/>
        </w:rPr>
        <w:t>ation by non-elites. Rather, it reflected unu</w:t>
      </w:r>
      <w:r w:rsidR="0005236F" w:rsidRPr="00D9330B">
        <w:rPr>
          <w:rFonts w:ascii="Times New Roman" w:hAnsi="Times New Roman" w:cs="Times New Roman"/>
          <w:sz w:val="24"/>
          <w:szCs w:val="24"/>
          <w:lang w:val="en-GB"/>
        </w:rPr>
        <w:t>sually broad elite support for state-led</w:t>
      </w:r>
      <w:r w:rsidRPr="00D9330B">
        <w:rPr>
          <w:rFonts w:ascii="Times New Roman" w:hAnsi="Times New Roman" w:cs="Times New Roman"/>
          <w:sz w:val="24"/>
          <w:szCs w:val="24"/>
          <w:lang w:val="en-GB"/>
        </w:rPr>
        <w:t xml:space="preserve"> </w:t>
      </w:r>
      <w:r w:rsidR="00792993" w:rsidRPr="00D9330B">
        <w:rPr>
          <w:rFonts w:ascii="Times New Roman" w:hAnsi="Times New Roman" w:cs="Times New Roman"/>
          <w:sz w:val="24"/>
          <w:szCs w:val="24"/>
          <w:lang w:val="en-GB"/>
        </w:rPr>
        <w:t>development. This dynamic was conducive</w:t>
      </w:r>
      <w:r w:rsidR="003E606A" w:rsidRPr="00D9330B">
        <w:rPr>
          <w:rFonts w:ascii="Times New Roman" w:hAnsi="Times New Roman" w:cs="Times New Roman"/>
          <w:sz w:val="24"/>
          <w:szCs w:val="24"/>
          <w:lang w:val="en-GB"/>
        </w:rPr>
        <w:t xml:space="preserve"> to public </w:t>
      </w:r>
      <w:r w:rsidR="003E606A" w:rsidRPr="00D9330B">
        <w:rPr>
          <w:rFonts w:ascii="Times New Roman" w:hAnsi="Times New Roman" w:cs="Times New Roman"/>
          <w:sz w:val="24"/>
          <w:szCs w:val="24"/>
          <w:lang w:val="en-GB"/>
        </w:rPr>
        <w:lastRenderedPageBreak/>
        <w:t>sector expansion</w:t>
      </w:r>
      <w:r w:rsidRPr="00D9330B">
        <w:rPr>
          <w:rFonts w:ascii="Times New Roman" w:hAnsi="Times New Roman" w:cs="Times New Roman"/>
          <w:sz w:val="24"/>
          <w:szCs w:val="24"/>
          <w:lang w:val="en-GB"/>
        </w:rPr>
        <w:t xml:space="preserve"> during</w:t>
      </w:r>
      <w:r w:rsidR="0005236F" w:rsidRPr="00D9330B">
        <w:rPr>
          <w:rFonts w:ascii="Times New Roman" w:hAnsi="Times New Roman" w:cs="Times New Roman"/>
          <w:sz w:val="24"/>
          <w:szCs w:val="24"/>
          <w:lang w:val="en-GB"/>
        </w:rPr>
        <w:t xml:space="preserve"> an historical</w:t>
      </w:r>
      <w:r w:rsidRPr="00D9330B">
        <w:rPr>
          <w:rFonts w:ascii="Times New Roman" w:hAnsi="Times New Roman" w:cs="Times New Roman"/>
          <w:sz w:val="24"/>
          <w:szCs w:val="24"/>
          <w:lang w:val="en-GB"/>
        </w:rPr>
        <w:t xml:space="preserve"> era, the Cold War, in</w:t>
      </w:r>
      <w:r w:rsidR="000E4F53" w:rsidRPr="00D9330B">
        <w:rPr>
          <w:rFonts w:ascii="Times New Roman" w:hAnsi="Times New Roman" w:cs="Times New Roman"/>
          <w:sz w:val="24"/>
          <w:szCs w:val="24"/>
          <w:lang w:val="en-GB"/>
        </w:rPr>
        <w:t xml:space="preserve"> which democracy was relatively fragile</w:t>
      </w:r>
      <w:r w:rsidR="0005236F" w:rsidRPr="00D9330B">
        <w:rPr>
          <w:rFonts w:ascii="Times New Roman" w:hAnsi="Times New Roman" w:cs="Times New Roman"/>
          <w:sz w:val="24"/>
          <w:szCs w:val="24"/>
          <w:lang w:val="en-GB"/>
        </w:rPr>
        <w:t>.</w:t>
      </w:r>
      <w:r w:rsidRPr="00D9330B">
        <w:rPr>
          <w:rFonts w:ascii="Times New Roman" w:hAnsi="Times New Roman" w:cs="Times New Roman"/>
          <w:sz w:val="24"/>
          <w:szCs w:val="24"/>
          <w:lang w:val="en-GB"/>
        </w:rPr>
        <w:t xml:space="preserve"> All four countries experienced periods of right-wing authoritarianism during this era, but </w:t>
      </w:r>
      <w:r w:rsidR="0005236F" w:rsidRPr="00D9330B">
        <w:rPr>
          <w:rFonts w:ascii="Times New Roman" w:hAnsi="Times New Roman" w:cs="Times New Roman"/>
          <w:sz w:val="24"/>
          <w:szCs w:val="24"/>
          <w:lang w:val="en-GB"/>
        </w:rPr>
        <w:t>in Brazil this phenomenon</w:t>
      </w:r>
      <w:r w:rsidR="003515B1" w:rsidRPr="00D9330B">
        <w:rPr>
          <w:rFonts w:ascii="Times New Roman" w:hAnsi="Times New Roman" w:cs="Times New Roman"/>
          <w:sz w:val="24"/>
          <w:szCs w:val="24"/>
          <w:lang w:val="en-GB"/>
        </w:rPr>
        <w:t xml:space="preserve"> did not lead to</w:t>
      </w:r>
      <w:r w:rsidRPr="00D9330B">
        <w:rPr>
          <w:rFonts w:ascii="Times New Roman" w:hAnsi="Times New Roman" w:cs="Times New Roman"/>
          <w:sz w:val="24"/>
          <w:szCs w:val="24"/>
          <w:lang w:val="en-GB"/>
        </w:rPr>
        <w:t xml:space="preserve"> state retrenchment because </w:t>
      </w:r>
      <w:r w:rsidR="004D7673" w:rsidRPr="00D9330B">
        <w:rPr>
          <w:rFonts w:ascii="Times New Roman" w:hAnsi="Times New Roman" w:cs="Times New Roman"/>
          <w:sz w:val="24"/>
          <w:szCs w:val="24"/>
          <w:lang w:val="en-GB"/>
        </w:rPr>
        <w:t>elites had</w:t>
      </w:r>
      <w:r w:rsidRPr="00D9330B">
        <w:rPr>
          <w:rFonts w:ascii="Times New Roman" w:hAnsi="Times New Roman" w:cs="Times New Roman"/>
          <w:sz w:val="24"/>
          <w:szCs w:val="24"/>
          <w:lang w:val="en-GB"/>
        </w:rPr>
        <w:t xml:space="preserve"> not</w:t>
      </w:r>
      <w:r w:rsidR="004D7673" w:rsidRPr="00D9330B">
        <w:rPr>
          <w:rFonts w:ascii="Times New Roman" w:hAnsi="Times New Roman" w:cs="Times New Roman"/>
          <w:sz w:val="24"/>
          <w:szCs w:val="24"/>
          <w:lang w:val="en-GB"/>
        </w:rPr>
        <w:t xml:space="preserve"> come to</w:t>
      </w:r>
      <w:r w:rsidRPr="00D9330B">
        <w:rPr>
          <w:rFonts w:ascii="Times New Roman" w:hAnsi="Times New Roman" w:cs="Times New Roman"/>
          <w:sz w:val="24"/>
          <w:szCs w:val="24"/>
          <w:lang w:val="en-GB"/>
        </w:rPr>
        <w:t xml:space="preserve"> view</w:t>
      </w:r>
      <w:r w:rsidR="003B1494" w:rsidRPr="00D9330B">
        <w:rPr>
          <w:rFonts w:ascii="Times New Roman" w:hAnsi="Times New Roman" w:cs="Times New Roman"/>
          <w:sz w:val="24"/>
          <w:szCs w:val="24"/>
          <w:lang w:val="en-GB"/>
        </w:rPr>
        <w:t xml:space="preserve"> the state</w:t>
      </w:r>
      <w:r w:rsidR="00457572" w:rsidRPr="00D9330B">
        <w:rPr>
          <w:rFonts w:ascii="Times New Roman" w:hAnsi="Times New Roman" w:cs="Times New Roman"/>
          <w:sz w:val="24"/>
          <w:szCs w:val="24"/>
          <w:lang w:val="en-GB"/>
        </w:rPr>
        <w:t xml:space="preserve"> as hostile</w:t>
      </w:r>
      <w:r w:rsidR="00931912" w:rsidRPr="00D9330B">
        <w:rPr>
          <w:rFonts w:ascii="Times New Roman" w:hAnsi="Times New Roman" w:cs="Times New Roman"/>
          <w:sz w:val="24"/>
          <w:szCs w:val="24"/>
          <w:lang w:val="en-GB"/>
        </w:rPr>
        <w:t xml:space="preserve"> to their interests</w:t>
      </w:r>
      <w:r w:rsidR="00546D6D" w:rsidRPr="00D9330B">
        <w:rPr>
          <w:rFonts w:ascii="Times New Roman" w:hAnsi="Times New Roman" w:cs="Times New Roman"/>
          <w:sz w:val="24"/>
          <w:szCs w:val="24"/>
          <w:lang w:val="en-GB"/>
        </w:rPr>
        <w:t>.</w:t>
      </w:r>
      <w:r w:rsidRPr="00D9330B">
        <w:rPr>
          <w:rFonts w:ascii="Times New Roman" w:hAnsi="Times New Roman" w:cs="Times New Roman"/>
          <w:sz w:val="24"/>
          <w:szCs w:val="24"/>
          <w:lang w:val="en-GB"/>
        </w:rPr>
        <w:t xml:space="preserve"> In contrast, in all the Southern Cone countries, military regimes react</w:t>
      </w:r>
      <w:r w:rsidR="006D0B22" w:rsidRPr="00D9330B">
        <w:rPr>
          <w:rFonts w:ascii="Times New Roman" w:hAnsi="Times New Roman" w:cs="Times New Roman"/>
          <w:sz w:val="24"/>
          <w:szCs w:val="24"/>
          <w:lang w:val="en-GB"/>
        </w:rPr>
        <w:t>ed against the previous</w:t>
      </w:r>
      <w:r w:rsidR="00457572" w:rsidRPr="00D9330B">
        <w:rPr>
          <w:rFonts w:ascii="Times New Roman" w:hAnsi="Times New Roman" w:cs="Times New Roman"/>
          <w:sz w:val="24"/>
          <w:szCs w:val="24"/>
          <w:lang w:val="en-GB"/>
        </w:rPr>
        <w:t xml:space="preserve"> popular sector</w:t>
      </w:r>
      <w:r w:rsidR="006D0B22" w:rsidRPr="00D9330B">
        <w:rPr>
          <w:rFonts w:ascii="Times New Roman" w:hAnsi="Times New Roman" w:cs="Times New Roman"/>
          <w:sz w:val="24"/>
          <w:szCs w:val="24"/>
          <w:lang w:val="en-GB"/>
        </w:rPr>
        <w:t xml:space="preserve"> gains</w:t>
      </w:r>
      <w:r w:rsidRPr="00D9330B">
        <w:rPr>
          <w:rFonts w:ascii="Times New Roman" w:hAnsi="Times New Roman" w:cs="Times New Roman"/>
          <w:sz w:val="24"/>
          <w:szCs w:val="24"/>
          <w:lang w:val="en-GB"/>
        </w:rPr>
        <w:t xml:space="preserve"> </w:t>
      </w:r>
      <w:r w:rsidR="004878F2" w:rsidRPr="00D9330B">
        <w:rPr>
          <w:rFonts w:ascii="Times New Roman" w:hAnsi="Times New Roman" w:cs="Times New Roman"/>
          <w:sz w:val="24"/>
          <w:szCs w:val="24"/>
          <w:lang w:val="en-GB"/>
        </w:rPr>
        <w:t>by trying to roll back</w:t>
      </w:r>
      <w:r w:rsidR="00356161" w:rsidRPr="00D9330B">
        <w:rPr>
          <w:rFonts w:ascii="Times New Roman" w:hAnsi="Times New Roman" w:cs="Times New Roman"/>
          <w:sz w:val="24"/>
          <w:szCs w:val="24"/>
          <w:lang w:val="en-GB"/>
        </w:rPr>
        <w:t xml:space="preserve"> the growth of the public sector</w:t>
      </w:r>
      <w:r w:rsidRPr="00D9330B">
        <w:rPr>
          <w:rFonts w:ascii="Times New Roman" w:hAnsi="Times New Roman" w:cs="Times New Roman"/>
          <w:sz w:val="24"/>
          <w:szCs w:val="24"/>
          <w:lang w:val="en-GB"/>
        </w:rPr>
        <w:t>. This difference was reflected in taxation: while Brazil’s tax b</w:t>
      </w:r>
      <w:r w:rsidR="006D0B22" w:rsidRPr="00D9330B">
        <w:rPr>
          <w:rFonts w:ascii="Times New Roman" w:hAnsi="Times New Roman" w:cs="Times New Roman"/>
          <w:sz w:val="24"/>
          <w:szCs w:val="24"/>
          <w:lang w:val="en-GB"/>
        </w:rPr>
        <w:t>urden surged</w:t>
      </w:r>
      <w:r w:rsidRPr="00D9330B">
        <w:rPr>
          <w:rFonts w:ascii="Times New Roman" w:hAnsi="Times New Roman" w:cs="Times New Roman"/>
          <w:sz w:val="24"/>
          <w:szCs w:val="24"/>
          <w:lang w:val="en-GB"/>
        </w:rPr>
        <w:t>, in the other countries it stagnated or</w:t>
      </w:r>
      <w:r w:rsidR="0005236F" w:rsidRPr="00D9330B">
        <w:rPr>
          <w:rFonts w:ascii="Times New Roman" w:hAnsi="Times New Roman" w:cs="Times New Roman"/>
          <w:sz w:val="24"/>
          <w:szCs w:val="24"/>
          <w:lang w:val="en-GB"/>
        </w:rPr>
        <w:t xml:space="preserve"> declined</w:t>
      </w:r>
      <w:r w:rsidRPr="00D9330B">
        <w:rPr>
          <w:rFonts w:ascii="Times New Roman" w:hAnsi="Times New Roman" w:cs="Times New Roman"/>
          <w:sz w:val="24"/>
          <w:szCs w:val="24"/>
          <w:lang w:val="en-GB"/>
        </w:rPr>
        <w:t xml:space="preserve">. </w:t>
      </w:r>
    </w:p>
    <w:p w:rsidR="00576312" w:rsidRDefault="00933181" w:rsidP="00576312">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Both variables changed</w:t>
      </w:r>
      <w:r w:rsidR="004D7673" w:rsidRPr="00D9330B">
        <w:rPr>
          <w:rFonts w:ascii="Times New Roman" w:hAnsi="Times New Roman" w:cs="Times New Roman"/>
          <w:sz w:val="24"/>
          <w:szCs w:val="24"/>
          <w:lang w:val="en-GB"/>
        </w:rPr>
        <w:t xml:space="preserve"> during t</w:t>
      </w:r>
      <w:r w:rsidR="00AC4307" w:rsidRPr="00D9330B">
        <w:rPr>
          <w:rFonts w:ascii="Times New Roman" w:hAnsi="Times New Roman" w:cs="Times New Roman"/>
          <w:sz w:val="24"/>
          <w:szCs w:val="24"/>
          <w:lang w:val="en-GB"/>
        </w:rPr>
        <w:t>he course of the 1980s, but</w:t>
      </w:r>
      <w:r w:rsidR="004D7673" w:rsidRPr="00D9330B">
        <w:rPr>
          <w:rFonts w:ascii="Times New Roman" w:hAnsi="Times New Roman" w:cs="Times New Roman"/>
          <w:sz w:val="24"/>
          <w:szCs w:val="24"/>
          <w:lang w:val="en-GB"/>
        </w:rPr>
        <w:t xml:space="preserve"> in a manner that</w:t>
      </w:r>
      <w:r w:rsidR="00D3548A" w:rsidRPr="00D9330B">
        <w:rPr>
          <w:rFonts w:ascii="Times New Roman" w:hAnsi="Times New Roman" w:cs="Times New Roman"/>
          <w:sz w:val="24"/>
          <w:szCs w:val="24"/>
          <w:lang w:val="en-GB"/>
        </w:rPr>
        <w:t xml:space="preserve"> continued to facilitate</w:t>
      </w:r>
      <w:r w:rsidR="00FC7BE4" w:rsidRPr="00D9330B">
        <w:rPr>
          <w:rFonts w:ascii="Times New Roman" w:hAnsi="Times New Roman" w:cs="Times New Roman"/>
          <w:sz w:val="24"/>
          <w:szCs w:val="24"/>
          <w:lang w:val="en-GB"/>
        </w:rPr>
        <w:t xml:space="preserve"> </w:t>
      </w:r>
      <w:r w:rsidR="00D3548A" w:rsidRPr="00D9330B">
        <w:rPr>
          <w:rFonts w:ascii="Times New Roman" w:hAnsi="Times New Roman" w:cs="Times New Roman"/>
          <w:sz w:val="24"/>
          <w:szCs w:val="24"/>
          <w:lang w:val="en-GB"/>
        </w:rPr>
        <w:t>higher</w:t>
      </w:r>
      <w:r w:rsidR="004D7673" w:rsidRPr="00D9330B">
        <w:rPr>
          <w:rFonts w:ascii="Times New Roman" w:hAnsi="Times New Roman" w:cs="Times New Roman"/>
          <w:sz w:val="24"/>
          <w:szCs w:val="24"/>
          <w:lang w:val="en-GB"/>
        </w:rPr>
        <w:t xml:space="preserve"> taxation in Brazil.</w:t>
      </w:r>
      <w:r w:rsidR="00F95DDA" w:rsidRPr="00D9330B">
        <w:rPr>
          <w:rFonts w:ascii="Times New Roman" w:hAnsi="Times New Roman" w:cs="Times New Roman"/>
          <w:sz w:val="24"/>
          <w:szCs w:val="24"/>
          <w:lang w:val="en-GB"/>
        </w:rPr>
        <w:t xml:space="preserve"> </w:t>
      </w:r>
      <w:r w:rsidR="003663C3" w:rsidRPr="00D9330B">
        <w:rPr>
          <w:rFonts w:ascii="Times New Roman" w:hAnsi="Times New Roman" w:cs="Times New Roman"/>
          <w:sz w:val="24"/>
          <w:szCs w:val="24"/>
          <w:lang w:val="en-GB"/>
        </w:rPr>
        <w:t>In the Southern Cone the anti-state,</w:t>
      </w:r>
      <w:r w:rsidR="006D0B22" w:rsidRPr="00D9330B">
        <w:rPr>
          <w:rFonts w:ascii="Times New Roman" w:hAnsi="Times New Roman" w:cs="Times New Roman"/>
          <w:sz w:val="24"/>
          <w:szCs w:val="24"/>
          <w:lang w:val="en-GB"/>
        </w:rPr>
        <w:t xml:space="preserve"> anti-industry bias of the</w:t>
      </w:r>
      <w:r w:rsidR="003663C3" w:rsidRPr="00D9330B">
        <w:rPr>
          <w:rFonts w:ascii="Times New Roman" w:hAnsi="Times New Roman" w:cs="Times New Roman"/>
          <w:sz w:val="24"/>
          <w:szCs w:val="24"/>
          <w:lang w:val="en-GB"/>
        </w:rPr>
        <w:t xml:space="preserve"> military regimes had structurally weakened</w:t>
      </w:r>
      <w:r w:rsidR="008F3BCA" w:rsidRPr="00D9330B">
        <w:rPr>
          <w:rFonts w:ascii="Times New Roman" w:hAnsi="Times New Roman" w:cs="Times New Roman"/>
          <w:sz w:val="24"/>
          <w:szCs w:val="24"/>
          <w:lang w:val="en-GB"/>
        </w:rPr>
        <w:t xml:space="preserve"> once powerful labour movements and cast doubt on the development model they defended</w:t>
      </w:r>
      <w:r w:rsidR="003663C3" w:rsidRPr="00D9330B">
        <w:rPr>
          <w:rFonts w:ascii="Times New Roman" w:hAnsi="Times New Roman" w:cs="Times New Roman"/>
          <w:sz w:val="24"/>
          <w:szCs w:val="24"/>
          <w:lang w:val="en-GB"/>
        </w:rPr>
        <w:t>.</w:t>
      </w:r>
      <w:r w:rsidR="002C575B" w:rsidRPr="00D9330B">
        <w:rPr>
          <w:rFonts w:ascii="Times New Roman" w:hAnsi="Times New Roman" w:cs="Times New Roman"/>
          <w:sz w:val="24"/>
          <w:szCs w:val="24"/>
          <w:lang w:val="en-GB"/>
        </w:rPr>
        <w:t xml:space="preserve"> At least until recently, these</w:t>
      </w:r>
      <w:r w:rsidR="00584DD8" w:rsidRPr="00D9330B">
        <w:rPr>
          <w:rFonts w:ascii="Times New Roman" w:hAnsi="Times New Roman" w:cs="Times New Roman"/>
          <w:sz w:val="24"/>
          <w:szCs w:val="24"/>
          <w:lang w:val="en-GB"/>
        </w:rPr>
        <w:t xml:space="preserve"> effects </w:t>
      </w:r>
      <w:r w:rsidR="00C337C3" w:rsidRPr="00D9330B">
        <w:rPr>
          <w:rFonts w:ascii="Times New Roman" w:hAnsi="Times New Roman" w:cs="Times New Roman"/>
          <w:sz w:val="24"/>
          <w:szCs w:val="24"/>
          <w:lang w:val="en-GB"/>
        </w:rPr>
        <w:t>dampen</w:t>
      </w:r>
      <w:r w:rsidR="00584DD8" w:rsidRPr="00D9330B">
        <w:rPr>
          <w:rFonts w:ascii="Times New Roman" w:hAnsi="Times New Roman" w:cs="Times New Roman"/>
          <w:sz w:val="24"/>
          <w:szCs w:val="24"/>
          <w:lang w:val="en-GB"/>
        </w:rPr>
        <w:t>ed</w:t>
      </w:r>
      <w:r w:rsidR="00A32451" w:rsidRPr="00D9330B">
        <w:rPr>
          <w:rFonts w:ascii="Times New Roman" w:hAnsi="Times New Roman" w:cs="Times New Roman"/>
          <w:sz w:val="24"/>
          <w:szCs w:val="24"/>
          <w:lang w:val="en-GB"/>
        </w:rPr>
        <w:t xml:space="preserve"> pressures for increased taxation.</w:t>
      </w:r>
      <w:r w:rsidR="003663C3" w:rsidRPr="00D9330B">
        <w:rPr>
          <w:rFonts w:ascii="Times New Roman" w:hAnsi="Times New Roman" w:cs="Times New Roman"/>
          <w:sz w:val="24"/>
          <w:szCs w:val="24"/>
          <w:lang w:val="en-GB"/>
        </w:rPr>
        <w:t xml:space="preserve"> In contrast, the rapid</w:t>
      </w:r>
      <w:r w:rsidR="00D3548A" w:rsidRPr="00D9330B">
        <w:rPr>
          <w:rFonts w:ascii="Times New Roman" w:hAnsi="Times New Roman" w:cs="Times New Roman"/>
          <w:sz w:val="24"/>
          <w:szCs w:val="24"/>
          <w:lang w:val="en-GB"/>
        </w:rPr>
        <w:t>, state-led expansion</w:t>
      </w:r>
      <w:r w:rsidR="003663C3" w:rsidRPr="00D9330B">
        <w:rPr>
          <w:rFonts w:ascii="Times New Roman" w:hAnsi="Times New Roman" w:cs="Times New Roman"/>
          <w:sz w:val="24"/>
          <w:szCs w:val="24"/>
          <w:lang w:val="en-GB"/>
        </w:rPr>
        <w:t xml:space="preserve"> of the Brazilian economy under military rule strengthened</w:t>
      </w:r>
      <w:r w:rsidR="00D3548A" w:rsidRPr="00D9330B">
        <w:rPr>
          <w:rFonts w:ascii="Times New Roman" w:hAnsi="Times New Roman" w:cs="Times New Roman"/>
          <w:sz w:val="24"/>
          <w:szCs w:val="24"/>
          <w:lang w:val="en-GB"/>
        </w:rPr>
        <w:t xml:space="preserve"> popular sectors and</w:t>
      </w:r>
      <w:r w:rsidR="008F3BCA" w:rsidRPr="00D9330B">
        <w:rPr>
          <w:rFonts w:ascii="Times New Roman" w:hAnsi="Times New Roman" w:cs="Times New Roman"/>
          <w:sz w:val="24"/>
          <w:szCs w:val="24"/>
          <w:lang w:val="en-GB"/>
        </w:rPr>
        <w:t xml:space="preserve"> </w:t>
      </w:r>
      <w:r w:rsidR="003B66EC" w:rsidRPr="00D9330B">
        <w:rPr>
          <w:rFonts w:ascii="Times New Roman" w:hAnsi="Times New Roman" w:cs="Times New Roman"/>
          <w:sz w:val="24"/>
          <w:szCs w:val="24"/>
          <w:lang w:val="en-GB"/>
        </w:rPr>
        <w:t xml:space="preserve">indirectly </w:t>
      </w:r>
      <w:r w:rsidR="00176B48">
        <w:rPr>
          <w:rFonts w:ascii="Times New Roman" w:hAnsi="Times New Roman" w:cs="Times New Roman"/>
          <w:sz w:val="24"/>
          <w:szCs w:val="24"/>
          <w:lang w:val="en-GB"/>
        </w:rPr>
        <w:t>legitimis</w:t>
      </w:r>
      <w:r w:rsidR="008F3BCA" w:rsidRPr="00D9330B">
        <w:rPr>
          <w:rFonts w:ascii="Times New Roman" w:hAnsi="Times New Roman" w:cs="Times New Roman"/>
          <w:sz w:val="24"/>
          <w:szCs w:val="24"/>
          <w:lang w:val="en-GB"/>
        </w:rPr>
        <w:t xml:space="preserve">ed their demands for </w:t>
      </w:r>
      <w:r w:rsidR="008A1967" w:rsidRPr="00D9330B">
        <w:rPr>
          <w:rFonts w:ascii="Times New Roman" w:hAnsi="Times New Roman" w:cs="Times New Roman"/>
          <w:sz w:val="24"/>
          <w:szCs w:val="24"/>
          <w:lang w:val="en-GB"/>
        </w:rPr>
        <w:t>an activist state</w:t>
      </w:r>
      <w:r w:rsidR="003663C3" w:rsidRPr="00D9330B">
        <w:rPr>
          <w:rFonts w:ascii="Times New Roman" w:hAnsi="Times New Roman" w:cs="Times New Roman"/>
          <w:sz w:val="24"/>
          <w:szCs w:val="24"/>
          <w:lang w:val="en-GB"/>
        </w:rPr>
        <w:t>.</w:t>
      </w:r>
      <w:r w:rsidR="00D3548A" w:rsidRPr="00D9330B">
        <w:rPr>
          <w:rFonts w:ascii="Times New Roman" w:hAnsi="Times New Roman" w:cs="Times New Roman"/>
          <w:sz w:val="24"/>
          <w:szCs w:val="24"/>
          <w:lang w:val="en-GB"/>
        </w:rPr>
        <w:t xml:space="preserve"> Both the crafting and, especially, </w:t>
      </w:r>
      <w:r w:rsidR="004C433E">
        <w:rPr>
          <w:rFonts w:ascii="Times New Roman" w:hAnsi="Times New Roman" w:cs="Times New Roman"/>
          <w:sz w:val="24"/>
          <w:szCs w:val="24"/>
          <w:lang w:val="en-GB"/>
        </w:rPr>
        <w:t>the implementation of the 1988 c</w:t>
      </w:r>
      <w:r w:rsidR="00D3548A" w:rsidRPr="00D9330B">
        <w:rPr>
          <w:rFonts w:ascii="Times New Roman" w:hAnsi="Times New Roman" w:cs="Times New Roman"/>
          <w:sz w:val="24"/>
          <w:szCs w:val="24"/>
          <w:lang w:val="en-GB"/>
        </w:rPr>
        <w:t>onstitution reflect</w:t>
      </w:r>
      <w:r w:rsidR="00740AC0" w:rsidRPr="00D9330B">
        <w:rPr>
          <w:rFonts w:ascii="Times New Roman" w:hAnsi="Times New Roman" w:cs="Times New Roman"/>
          <w:sz w:val="24"/>
          <w:szCs w:val="24"/>
          <w:lang w:val="en-GB"/>
        </w:rPr>
        <w:t xml:space="preserve"> in part</w:t>
      </w:r>
      <w:r w:rsidR="008A7E6B" w:rsidRPr="00D9330B">
        <w:rPr>
          <w:rFonts w:ascii="Times New Roman" w:hAnsi="Times New Roman" w:cs="Times New Roman"/>
          <w:sz w:val="24"/>
          <w:szCs w:val="24"/>
          <w:lang w:val="en-GB"/>
        </w:rPr>
        <w:t xml:space="preserve"> this altered</w:t>
      </w:r>
      <w:r w:rsidR="00D3548A" w:rsidRPr="00D9330B">
        <w:rPr>
          <w:rFonts w:ascii="Times New Roman" w:hAnsi="Times New Roman" w:cs="Times New Roman"/>
          <w:sz w:val="24"/>
          <w:szCs w:val="24"/>
          <w:lang w:val="en-GB"/>
        </w:rPr>
        <w:t xml:space="preserve"> balance of forces.</w:t>
      </w:r>
      <w:r w:rsidR="008A7E6B" w:rsidRPr="00D9330B">
        <w:rPr>
          <w:rFonts w:ascii="Times New Roman" w:hAnsi="Times New Roman" w:cs="Times New Roman"/>
          <w:sz w:val="24"/>
          <w:szCs w:val="24"/>
          <w:lang w:val="en-GB"/>
        </w:rPr>
        <w:t xml:space="preserve"> While the pre-1980 expansion of the state in the Southern Cone was eventually halted by au</w:t>
      </w:r>
      <w:r w:rsidR="002F2AD3" w:rsidRPr="00D9330B">
        <w:rPr>
          <w:rFonts w:ascii="Times New Roman" w:hAnsi="Times New Roman" w:cs="Times New Roman"/>
          <w:sz w:val="24"/>
          <w:szCs w:val="24"/>
          <w:lang w:val="en-GB"/>
        </w:rPr>
        <w:t>thoritarian rule, the same</w:t>
      </w:r>
      <w:r w:rsidR="008A7E6B" w:rsidRPr="00D9330B">
        <w:rPr>
          <w:rFonts w:ascii="Times New Roman" w:hAnsi="Times New Roman" w:cs="Times New Roman"/>
          <w:sz w:val="24"/>
          <w:szCs w:val="24"/>
          <w:lang w:val="en-GB"/>
        </w:rPr>
        <w:t xml:space="preserve"> has not happened in</w:t>
      </w:r>
      <w:r w:rsidR="00BD03B7" w:rsidRPr="00D9330B">
        <w:rPr>
          <w:rFonts w:ascii="Times New Roman" w:hAnsi="Times New Roman" w:cs="Times New Roman"/>
          <w:sz w:val="24"/>
          <w:szCs w:val="24"/>
          <w:lang w:val="en-GB"/>
        </w:rPr>
        <w:t xml:space="preserve"> contemporary</w:t>
      </w:r>
      <w:r w:rsidR="008A7E6B" w:rsidRPr="00D9330B">
        <w:rPr>
          <w:rFonts w:ascii="Times New Roman" w:hAnsi="Times New Roman" w:cs="Times New Roman"/>
          <w:sz w:val="24"/>
          <w:szCs w:val="24"/>
          <w:lang w:val="en-GB"/>
        </w:rPr>
        <w:t xml:space="preserve"> Brazil. This outcome is a result of changes</w:t>
      </w:r>
      <w:r w:rsidR="00FC7BE4" w:rsidRPr="00D9330B">
        <w:rPr>
          <w:rFonts w:ascii="Times New Roman" w:hAnsi="Times New Roman" w:cs="Times New Roman"/>
          <w:sz w:val="24"/>
          <w:szCs w:val="24"/>
          <w:lang w:val="en-GB"/>
        </w:rPr>
        <w:t xml:space="preserve"> that have made democracy</w:t>
      </w:r>
      <w:r w:rsidR="008F3BCA" w:rsidRPr="00D9330B">
        <w:rPr>
          <w:rFonts w:ascii="Times New Roman" w:hAnsi="Times New Roman" w:cs="Times New Roman"/>
          <w:sz w:val="24"/>
          <w:szCs w:val="24"/>
          <w:lang w:val="en-GB"/>
        </w:rPr>
        <w:t xml:space="preserve"> more resilient across the region</w:t>
      </w:r>
      <w:r w:rsidR="00FC7BE4" w:rsidRPr="00D9330B">
        <w:rPr>
          <w:rFonts w:ascii="Times New Roman" w:hAnsi="Times New Roman" w:cs="Times New Roman"/>
          <w:sz w:val="24"/>
          <w:szCs w:val="24"/>
          <w:lang w:val="en-GB"/>
        </w:rPr>
        <w:t>, including the strengtheni</w:t>
      </w:r>
      <w:r w:rsidR="004D3984" w:rsidRPr="00D9330B">
        <w:rPr>
          <w:rFonts w:ascii="Times New Roman" w:hAnsi="Times New Roman" w:cs="Times New Roman"/>
          <w:sz w:val="24"/>
          <w:szCs w:val="24"/>
          <w:lang w:val="en-GB"/>
        </w:rPr>
        <w:t>ng of democratic norms among</w:t>
      </w:r>
      <w:r w:rsidR="00FC7BE4" w:rsidRPr="00D9330B">
        <w:rPr>
          <w:rFonts w:ascii="Times New Roman" w:hAnsi="Times New Roman" w:cs="Times New Roman"/>
          <w:sz w:val="24"/>
          <w:szCs w:val="24"/>
          <w:lang w:val="en-GB"/>
        </w:rPr>
        <w:t xml:space="preserve"> domestic political actors and the greater inclination of external </w:t>
      </w:r>
      <w:r w:rsidR="00A32451" w:rsidRPr="00D9330B">
        <w:rPr>
          <w:rFonts w:ascii="Times New Roman" w:hAnsi="Times New Roman" w:cs="Times New Roman"/>
          <w:sz w:val="24"/>
          <w:szCs w:val="24"/>
          <w:lang w:val="en-GB"/>
        </w:rPr>
        <w:t>actors</w:t>
      </w:r>
      <w:r w:rsidR="00FC7BE4" w:rsidRPr="00D9330B">
        <w:rPr>
          <w:rFonts w:ascii="Times New Roman" w:hAnsi="Times New Roman" w:cs="Times New Roman"/>
          <w:sz w:val="24"/>
          <w:szCs w:val="24"/>
          <w:lang w:val="en-GB"/>
        </w:rPr>
        <w:t xml:space="preserve"> to support democratic politics.</w:t>
      </w:r>
      <w:r w:rsidR="002F2AD3" w:rsidRPr="00D9330B">
        <w:rPr>
          <w:rStyle w:val="FootnoteReference"/>
          <w:rFonts w:ascii="Times New Roman" w:hAnsi="Times New Roman" w:cs="Times New Roman"/>
          <w:sz w:val="24"/>
          <w:szCs w:val="24"/>
          <w:lang w:val="en-GB"/>
        </w:rPr>
        <w:footnoteReference w:id="10"/>
      </w:r>
    </w:p>
    <w:p w:rsidR="00576312" w:rsidRPr="00D9330B" w:rsidRDefault="00576312" w:rsidP="00576312">
      <w:pPr>
        <w:spacing w:after="0" w:line="480" w:lineRule="auto"/>
        <w:ind w:firstLine="720"/>
        <w:rPr>
          <w:rFonts w:ascii="Times New Roman" w:hAnsi="Times New Roman" w:cs="Times New Roman"/>
          <w:sz w:val="24"/>
          <w:szCs w:val="24"/>
          <w:lang w:val="en-GB"/>
        </w:rPr>
      </w:pPr>
    </w:p>
    <w:p w:rsidR="009E6B31" w:rsidRPr="00D9330B" w:rsidRDefault="009E6B31" w:rsidP="009E6B31">
      <w:pPr>
        <w:spacing w:after="0" w:line="480" w:lineRule="auto"/>
        <w:jc w:val="center"/>
        <w:rPr>
          <w:rFonts w:ascii="Times New Roman" w:hAnsi="Times New Roman" w:cs="Times New Roman"/>
          <w:i/>
          <w:sz w:val="24"/>
          <w:szCs w:val="24"/>
          <w:lang w:val="en-GB"/>
        </w:rPr>
      </w:pPr>
      <w:r w:rsidRPr="00D9330B">
        <w:rPr>
          <w:rFonts w:ascii="Times New Roman" w:hAnsi="Times New Roman" w:cs="Times New Roman"/>
          <w:i/>
          <w:sz w:val="24"/>
          <w:szCs w:val="24"/>
          <w:lang w:val="en-GB"/>
        </w:rPr>
        <w:lastRenderedPageBreak/>
        <w:t>Brazil’s Tax System in Comparative Perspective</w:t>
      </w:r>
    </w:p>
    <w:p w:rsidR="00EC1543" w:rsidRPr="00D9330B" w:rsidRDefault="00120477" w:rsidP="00C53250">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This section provides a synthetic overview of Brazil’s tax system in comparison to Latin America as a whole and the three comparative case studies</w:t>
      </w:r>
      <w:r w:rsidR="00C53250" w:rsidRPr="00D9330B">
        <w:rPr>
          <w:rFonts w:ascii="Times New Roman" w:hAnsi="Times New Roman" w:cs="Times New Roman"/>
          <w:sz w:val="24"/>
          <w:szCs w:val="24"/>
          <w:lang w:val="en-GB"/>
        </w:rPr>
        <w:t xml:space="preserve"> more specifically,</w:t>
      </w:r>
      <w:r w:rsidR="00716F0A" w:rsidRPr="00D9330B">
        <w:rPr>
          <w:rFonts w:ascii="Times New Roman" w:hAnsi="Times New Roman" w:cs="Times New Roman"/>
          <w:sz w:val="24"/>
          <w:szCs w:val="24"/>
          <w:lang w:val="en-GB"/>
        </w:rPr>
        <w:t xml:space="preserve"> examining both the overall tax burden (i</w:t>
      </w:r>
      <w:r w:rsidR="002301C4" w:rsidRPr="00D9330B">
        <w:rPr>
          <w:rFonts w:ascii="Times New Roman" w:hAnsi="Times New Roman" w:cs="Times New Roman"/>
          <w:sz w:val="24"/>
          <w:szCs w:val="24"/>
          <w:lang w:val="en-GB"/>
        </w:rPr>
        <w:t>ncludi</w:t>
      </w:r>
      <w:r w:rsidR="00E86568">
        <w:rPr>
          <w:rFonts w:ascii="Times New Roman" w:hAnsi="Times New Roman" w:cs="Times New Roman"/>
          <w:sz w:val="24"/>
          <w:szCs w:val="24"/>
          <w:lang w:val="en-GB"/>
        </w:rPr>
        <w:t>ng subnational government tax</w:t>
      </w:r>
      <w:r w:rsidR="002301C4" w:rsidRPr="00D9330B">
        <w:rPr>
          <w:rFonts w:ascii="Times New Roman" w:hAnsi="Times New Roman" w:cs="Times New Roman"/>
          <w:sz w:val="24"/>
          <w:szCs w:val="24"/>
          <w:lang w:val="en-GB"/>
        </w:rPr>
        <w:t>es</w:t>
      </w:r>
      <w:r w:rsidR="00716F0A" w:rsidRPr="00D9330B">
        <w:rPr>
          <w:rFonts w:ascii="Times New Roman" w:hAnsi="Times New Roman" w:cs="Times New Roman"/>
          <w:sz w:val="24"/>
          <w:szCs w:val="24"/>
          <w:lang w:val="en-GB"/>
        </w:rPr>
        <w:t xml:space="preserve"> and contributions to public social security programs)</w:t>
      </w:r>
      <w:r w:rsidR="007728BA">
        <w:rPr>
          <w:rFonts w:ascii="Times New Roman" w:hAnsi="Times New Roman" w:cs="Times New Roman"/>
          <w:sz w:val="24"/>
          <w:szCs w:val="24"/>
          <w:lang w:val="en-GB"/>
        </w:rPr>
        <w:t xml:space="preserve"> and the sources of tax revenue</w:t>
      </w:r>
      <w:r w:rsidR="00C53250" w:rsidRPr="00D9330B">
        <w:rPr>
          <w:rFonts w:ascii="Times New Roman" w:hAnsi="Times New Roman" w:cs="Times New Roman"/>
          <w:sz w:val="24"/>
          <w:szCs w:val="24"/>
          <w:lang w:val="en-GB"/>
        </w:rPr>
        <w:t>.</w:t>
      </w:r>
    </w:p>
    <w:p w:rsidR="006D64D7" w:rsidRDefault="009A661E" w:rsidP="009A661E">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During the most recent five years for which data are available</w:t>
      </w:r>
      <w:r w:rsidR="00271D7D" w:rsidRPr="00D9330B">
        <w:rPr>
          <w:rFonts w:ascii="Times New Roman" w:hAnsi="Times New Roman" w:cs="Times New Roman"/>
          <w:sz w:val="24"/>
          <w:szCs w:val="24"/>
          <w:lang w:val="en-GB"/>
        </w:rPr>
        <w:t>,</w:t>
      </w:r>
      <w:r w:rsidR="009E6B31" w:rsidRPr="00D9330B">
        <w:rPr>
          <w:rFonts w:ascii="Times New Roman" w:hAnsi="Times New Roman" w:cs="Times New Roman"/>
          <w:sz w:val="24"/>
          <w:szCs w:val="24"/>
          <w:lang w:val="en-GB"/>
        </w:rPr>
        <w:t xml:space="preserve"> Brazil</w:t>
      </w:r>
      <w:r w:rsidR="00F14823" w:rsidRPr="00D9330B">
        <w:rPr>
          <w:rFonts w:ascii="Times New Roman" w:hAnsi="Times New Roman" w:cs="Times New Roman"/>
          <w:sz w:val="24"/>
          <w:szCs w:val="24"/>
          <w:lang w:val="en-GB"/>
        </w:rPr>
        <w:t>’s average tax burden of 3</w:t>
      </w:r>
      <w:r w:rsidR="00271D7D" w:rsidRPr="00D9330B">
        <w:rPr>
          <w:rFonts w:ascii="Times New Roman" w:hAnsi="Times New Roman" w:cs="Times New Roman"/>
          <w:sz w:val="24"/>
          <w:szCs w:val="24"/>
          <w:lang w:val="en-GB"/>
        </w:rPr>
        <w:t>3.9</w:t>
      </w:r>
      <w:r w:rsidR="00F14823" w:rsidRPr="00D9330B">
        <w:rPr>
          <w:rFonts w:ascii="Times New Roman" w:hAnsi="Times New Roman" w:cs="Times New Roman"/>
          <w:sz w:val="24"/>
          <w:szCs w:val="24"/>
          <w:lang w:val="en-GB"/>
        </w:rPr>
        <w:t xml:space="preserve"> per</w:t>
      </w:r>
      <w:r w:rsidR="00CA7EA4">
        <w:rPr>
          <w:rFonts w:ascii="Times New Roman" w:hAnsi="Times New Roman" w:cs="Times New Roman"/>
          <w:sz w:val="24"/>
          <w:szCs w:val="24"/>
          <w:lang w:val="en-GB"/>
        </w:rPr>
        <w:t xml:space="preserve"> </w:t>
      </w:r>
      <w:r w:rsidR="00F14823" w:rsidRPr="00D9330B">
        <w:rPr>
          <w:rFonts w:ascii="Times New Roman" w:hAnsi="Times New Roman" w:cs="Times New Roman"/>
          <w:sz w:val="24"/>
          <w:szCs w:val="24"/>
          <w:lang w:val="en-GB"/>
        </w:rPr>
        <w:t>cent of GDP</w:t>
      </w:r>
      <w:r w:rsidR="00434112" w:rsidRPr="00D9330B">
        <w:rPr>
          <w:rFonts w:ascii="Times New Roman" w:hAnsi="Times New Roman" w:cs="Times New Roman"/>
          <w:sz w:val="24"/>
          <w:szCs w:val="24"/>
          <w:lang w:val="en-GB"/>
        </w:rPr>
        <w:t xml:space="preserve"> </w:t>
      </w:r>
      <w:r w:rsidR="0009479A" w:rsidRPr="00D9330B">
        <w:rPr>
          <w:rFonts w:ascii="Times New Roman" w:hAnsi="Times New Roman" w:cs="Times New Roman"/>
          <w:sz w:val="24"/>
          <w:szCs w:val="24"/>
          <w:lang w:val="en-GB"/>
        </w:rPr>
        <w:t>was clearly</w:t>
      </w:r>
      <w:r w:rsidR="00F14823" w:rsidRPr="00D9330B">
        <w:rPr>
          <w:rFonts w:ascii="Times New Roman" w:hAnsi="Times New Roman" w:cs="Times New Roman"/>
          <w:sz w:val="24"/>
          <w:szCs w:val="24"/>
          <w:lang w:val="en-GB"/>
        </w:rPr>
        <w:t xml:space="preserve"> the heaviest </w:t>
      </w:r>
      <w:r w:rsidR="009E6B31" w:rsidRPr="00D9330B">
        <w:rPr>
          <w:rFonts w:ascii="Times New Roman" w:hAnsi="Times New Roman" w:cs="Times New Roman"/>
          <w:sz w:val="24"/>
          <w:szCs w:val="24"/>
          <w:lang w:val="en-GB"/>
        </w:rPr>
        <w:t>of any Latin</w:t>
      </w:r>
      <w:r w:rsidR="00434112" w:rsidRPr="00D9330B">
        <w:rPr>
          <w:rFonts w:ascii="Times New Roman" w:hAnsi="Times New Roman" w:cs="Times New Roman"/>
          <w:sz w:val="24"/>
          <w:szCs w:val="24"/>
          <w:lang w:val="en-GB"/>
        </w:rPr>
        <w:t xml:space="preserve"> American country (see Table 1). Uruguay</w:t>
      </w:r>
      <w:r w:rsidR="009E6B31" w:rsidRPr="00D9330B">
        <w:rPr>
          <w:rFonts w:ascii="Times New Roman" w:hAnsi="Times New Roman" w:cs="Times New Roman"/>
          <w:sz w:val="24"/>
          <w:szCs w:val="24"/>
          <w:lang w:val="en-GB"/>
        </w:rPr>
        <w:t xml:space="preserve"> had </w:t>
      </w:r>
      <w:r w:rsidR="00271D7D" w:rsidRPr="00D9330B">
        <w:rPr>
          <w:rFonts w:ascii="Times New Roman" w:hAnsi="Times New Roman" w:cs="Times New Roman"/>
          <w:sz w:val="24"/>
          <w:szCs w:val="24"/>
          <w:lang w:val="en-GB"/>
        </w:rPr>
        <w:t>the second highest, at 28.9</w:t>
      </w:r>
      <w:r w:rsidR="00AE6B74" w:rsidRPr="00D9330B">
        <w:rPr>
          <w:rFonts w:ascii="Times New Roman" w:hAnsi="Times New Roman" w:cs="Times New Roman"/>
          <w:sz w:val="24"/>
          <w:szCs w:val="24"/>
          <w:lang w:val="en-GB"/>
        </w:rPr>
        <w:t xml:space="preserve"> </w:t>
      </w:r>
      <w:r w:rsidR="009E6B31" w:rsidRPr="00D9330B">
        <w:rPr>
          <w:rFonts w:ascii="Times New Roman" w:hAnsi="Times New Roman" w:cs="Times New Roman"/>
          <w:sz w:val="24"/>
          <w:szCs w:val="24"/>
          <w:lang w:val="en-GB"/>
        </w:rPr>
        <w:t xml:space="preserve">per </w:t>
      </w:r>
      <w:r w:rsidR="00AE6B74" w:rsidRPr="00D9330B">
        <w:rPr>
          <w:rFonts w:ascii="Times New Roman" w:hAnsi="Times New Roman" w:cs="Times New Roman"/>
          <w:sz w:val="24"/>
          <w:szCs w:val="24"/>
          <w:lang w:val="en-GB"/>
        </w:rPr>
        <w:t>c</w:t>
      </w:r>
      <w:r w:rsidR="00434112" w:rsidRPr="00D9330B">
        <w:rPr>
          <w:rFonts w:ascii="Times New Roman" w:hAnsi="Times New Roman" w:cs="Times New Roman"/>
          <w:sz w:val="24"/>
          <w:szCs w:val="24"/>
          <w:lang w:val="en-GB"/>
        </w:rPr>
        <w:t>en</w:t>
      </w:r>
      <w:r w:rsidR="00271D7D" w:rsidRPr="00D9330B">
        <w:rPr>
          <w:rFonts w:ascii="Times New Roman" w:hAnsi="Times New Roman" w:cs="Times New Roman"/>
          <w:sz w:val="24"/>
          <w:szCs w:val="24"/>
          <w:lang w:val="en-GB"/>
        </w:rPr>
        <w:t>t, followed by Argentina at 28.2</w:t>
      </w:r>
      <w:r w:rsidR="009E6B31" w:rsidRPr="00D9330B">
        <w:rPr>
          <w:rFonts w:ascii="Times New Roman" w:hAnsi="Times New Roman" w:cs="Times New Roman"/>
          <w:sz w:val="24"/>
          <w:szCs w:val="24"/>
          <w:lang w:val="en-GB"/>
        </w:rPr>
        <w:t xml:space="preserve"> per cent. </w:t>
      </w:r>
      <w:r w:rsidR="007122B1" w:rsidRPr="00D9330B">
        <w:rPr>
          <w:rFonts w:ascii="Times New Roman" w:hAnsi="Times New Roman" w:cs="Times New Roman"/>
          <w:sz w:val="24"/>
          <w:szCs w:val="24"/>
          <w:lang w:val="en-GB"/>
        </w:rPr>
        <w:t>Chile’s tax burden was significant</w:t>
      </w:r>
      <w:r w:rsidR="00345E9B" w:rsidRPr="00D9330B">
        <w:rPr>
          <w:rFonts w:ascii="Times New Roman" w:hAnsi="Times New Roman" w:cs="Times New Roman"/>
          <w:sz w:val="24"/>
          <w:szCs w:val="24"/>
          <w:lang w:val="en-GB"/>
        </w:rPr>
        <w:t xml:space="preserve">ly </w:t>
      </w:r>
      <w:r w:rsidR="00271D7D" w:rsidRPr="00D9330B">
        <w:rPr>
          <w:rFonts w:ascii="Times New Roman" w:hAnsi="Times New Roman" w:cs="Times New Roman"/>
          <w:sz w:val="24"/>
          <w:szCs w:val="24"/>
          <w:lang w:val="en-GB"/>
        </w:rPr>
        <w:t>lower</w:t>
      </w:r>
      <w:r w:rsidRPr="00D9330B">
        <w:rPr>
          <w:rFonts w:ascii="Times New Roman" w:hAnsi="Times New Roman" w:cs="Times New Roman"/>
          <w:sz w:val="24"/>
          <w:szCs w:val="24"/>
          <w:lang w:val="en-GB"/>
        </w:rPr>
        <w:t>,</w:t>
      </w:r>
      <w:r w:rsidR="00271D7D" w:rsidRPr="00D9330B">
        <w:rPr>
          <w:rFonts w:ascii="Times New Roman" w:hAnsi="Times New Roman" w:cs="Times New Roman"/>
          <w:sz w:val="24"/>
          <w:szCs w:val="24"/>
          <w:lang w:val="en-GB"/>
        </w:rPr>
        <w:t xml:space="preserve"> at 19.2</w:t>
      </w:r>
      <w:r w:rsidR="007122B1" w:rsidRPr="00D9330B">
        <w:rPr>
          <w:rFonts w:ascii="Times New Roman" w:hAnsi="Times New Roman" w:cs="Times New Roman"/>
          <w:sz w:val="24"/>
          <w:szCs w:val="24"/>
          <w:lang w:val="en-GB"/>
        </w:rPr>
        <w:t xml:space="preserve"> per cent of GDP. The regional average was</w:t>
      </w:r>
      <w:r w:rsidR="003B5E49" w:rsidRPr="00D9330B">
        <w:rPr>
          <w:rFonts w:ascii="Times New Roman" w:hAnsi="Times New Roman" w:cs="Times New Roman"/>
          <w:sz w:val="24"/>
          <w:szCs w:val="24"/>
          <w:lang w:val="en-GB"/>
        </w:rPr>
        <w:t xml:space="preserve"> 18.5 per cent with Brazil and 17.7</w:t>
      </w:r>
      <w:r w:rsidR="009E6B31" w:rsidRPr="00D9330B">
        <w:rPr>
          <w:rFonts w:ascii="Times New Roman" w:hAnsi="Times New Roman" w:cs="Times New Roman"/>
          <w:sz w:val="24"/>
          <w:szCs w:val="24"/>
          <w:lang w:val="en-GB"/>
        </w:rPr>
        <w:t xml:space="preserve"> per cent without it.</w:t>
      </w:r>
    </w:p>
    <w:p w:rsidR="00712E3A" w:rsidRPr="00C63EC0" w:rsidRDefault="00712E3A" w:rsidP="00712E3A">
      <w:pPr>
        <w:spacing w:after="0" w:line="240" w:lineRule="auto"/>
        <w:rPr>
          <w:rFonts w:ascii="Times New Roman" w:hAnsi="Times New Roman" w:cs="Times New Roman"/>
          <w:b/>
          <w:sz w:val="24"/>
          <w:szCs w:val="24"/>
          <w:lang w:val="en-GB"/>
        </w:rPr>
      </w:pPr>
      <w:r w:rsidRPr="00C63EC0">
        <w:rPr>
          <w:rFonts w:ascii="Times New Roman" w:hAnsi="Times New Roman" w:cs="Times New Roman"/>
          <w:sz w:val="24"/>
          <w:szCs w:val="24"/>
          <w:lang w:val="en-GB"/>
        </w:rPr>
        <w:t>Table 1.</w:t>
      </w:r>
      <w:r w:rsidRPr="00C63EC0">
        <w:rPr>
          <w:rFonts w:ascii="Times New Roman" w:hAnsi="Times New Roman" w:cs="Times New Roman"/>
          <w:b/>
          <w:sz w:val="24"/>
          <w:szCs w:val="24"/>
          <w:lang w:val="en-GB"/>
        </w:rPr>
        <w:t xml:space="preserve"> </w:t>
      </w:r>
      <w:r w:rsidRPr="00C63EC0">
        <w:rPr>
          <w:rFonts w:ascii="Times New Roman" w:hAnsi="Times New Roman" w:cs="Times New Roman"/>
          <w:i/>
          <w:sz w:val="24"/>
          <w:szCs w:val="24"/>
          <w:lang w:val="en-GB"/>
        </w:rPr>
        <w:t xml:space="preserve">Tax Burdens in Latin America, </w:t>
      </w:r>
      <w:r>
        <w:rPr>
          <w:rFonts w:ascii="Times New Roman" w:hAnsi="Times New Roman" w:cs="Times New Roman"/>
          <w:i/>
          <w:sz w:val="24"/>
          <w:szCs w:val="24"/>
          <w:lang w:val="en-GB"/>
        </w:rPr>
        <w:t>2009-2013</w:t>
      </w:r>
      <w:r>
        <w:rPr>
          <w:rFonts w:ascii="Times New Roman" w:hAnsi="Times New Roman" w:cs="Times New Roman"/>
          <w:i/>
          <w:sz w:val="24"/>
          <w:szCs w:val="24"/>
          <w:vertAlign w:val="superscript"/>
          <w:lang w:val="en-GB"/>
        </w:rPr>
        <w:t xml:space="preserve"> </w:t>
      </w:r>
      <w:r>
        <w:rPr>
          <w:rFonts w:ascii="Times New Roman" w:hAnsi="Times New Roman" w:cs="Times New Roman"/>
          <w:i/>
          <w:sz w:val="24"/>
          <w:szCs w:val="24"/>
          <w:lang w:val="en-GB"/>
        </w:rPr>
        <w:t>(or Most Recent Five Years) (% of GDP)</w:t>
      </w:r>
    </w:p>
    <w:tbl>
      <w:tblPr>
        <w:tblStyle w:val="TableGrid"/>
        <w:tblW w:w="0" w:type="auto"/>
        <w:tblLook w:val="04A0" w:firstRow="1" w:lastRow="0" w:firstColumn="1" w:lastColumn="0" w:noHBand="0" w:noVBand="1"/>
      </w:tblPr>
      <w:tblGrid>
        <w:gridCol w:w="1368"/>
        <w:gridCol w:w="1620"/>
        <w:gridCol w:w="1440"/>
        <w:gridCol w:w="1620"/>
      </w:tblGrid>
      <w:tr w:rsidR="00712E3A" w:rsidRPr="00C63EC0" w:rsidTr="00EA44C7">
        <w:trPr>
          <w:trHeight w:val="683"/>
        </w:trPr>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Country</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Tax Burden</w:t>
            </w:r>
            <w:r w:rsidRPr="00C63EC0">
              <w:rPr>
                <w:rFonts w:ascii="Times New Roman" w:hAnsi="Times New Roman" w:cs="Times New Roman"/>
                <w:sz w:val="24"/>
                <w:szCs w:val="24"/>
                <w:lang w:val="en-GB"/>
              </w:rPr>
              <w:t xml:space="preserve"> </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Country</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Tax Burden</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Brazil</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33.9</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Honduras</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16.8</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Uruguay</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28.9</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Panama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16.7</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Argentina </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28.2</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El Salvador</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15.2</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Costa Rica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21.9</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Paraguay</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14.3</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Bolivia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21.8</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Dom. Rep.</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13.2</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Nicaragua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19.8</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Venezuela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13.2</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Chile</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19.2</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Guatemala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12.5</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Peru</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18.3</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Haiti</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12.3</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Colombia</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17.9</w:t>
            </w:r>
          </w:p>
        </w:tc>
        <w:tc>
          <w:tcPr>
            <w:tcW w:w="144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Mexico</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11.1</w:t>
            </w:r>
          </w:p>
        </w:tc>
      </w:tr>
      <w:tr w:rsidR="00712E3A" w:rsidRPr="00C63EC0" w:rsidTr="00EA44C7">
        <w:tc>
          <w:tcPr>
            <w:tcW w:w="1368"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 xml:space="preserve">Ecuador </w:t>
            </w:r>
          </w:p>
        </w:tc>
        <w:tc>
          <w:tcPr>
            <w:tcW w:w="1620" w:type="dxa"/>
            <w:tcBorders>
              <w:top w:val="nil"/>
              <w:left w:val="nil"/>
              <w:bottom w:val="nil"/>
              <w:right w:val="nil"/>
            </w:tcBorders>
          </w:tcPr>
          <w:p w:rsidR="00712E3A" w:rsidRPr="00C63EC0"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17.0</w:t>
            </w:r>
          </w:p>
        </w:tc>
        <w:tc>
          <w:tcPr>
            <w:tcW w:w="1440" w:type="dxa"/>
            <w:tcBorders>
              <w:top w:val="nil"/>
              <w:left w:val="nil"/>
              <w:bottom w:val="nil"/>
              <w:right w:val="nil"/>
            </w:tcBorders>
          </w:tcPr>
          <w:p w:rsidR="00712E3A"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Average</w:t>
            </w:r>
          </w:p>
        </w:tc>
        <w:tc>
          <w:tcPr>
            <w:tcW w:w="1620" w:type="dxa"/>
            <w:tcBorders>
              <w:top w:val="nil"/>
              <w:left w:val="nil"/>
              <w:bottom w:val="nil"/>
              <w:right w:val="nil"/>
            </w:tcBorders>
          </w:tcPr>
          <w:p w:rsidR="00712E3A" w:rsidRDefault="00712E3A" w:rsidP="00712E3A">
            <w:pPr>
              <w:rPr>
                <w:rFonts w:ascii="Times New Roman" w:hAnsi="Times New Roman" w:cs="Times New Roman"/>
                <w:sz w:val="24"/>
                <w:szCs w:val="24"/>
                <w:lang w:val="en-GB"/>
              </w:rPr>
            </w:pPr>
            <w:r>
              <w:rPr>
                <w:rFonts w:ascii="Times New Roman" w:hAnsi="Times New Roman" w:cs="Times New Roman"/>
                <w:sz w:val="24"/>
                <w:szCs w:val="24"/>
                <w:lang w:val="en-GB"/>
              </w:rPr>
              <w:t>18.5</w:t>
            </w:r>
          </w:p>
        </w:tc>
      </w:tr>
      <w:tr w:rsidR="00712E3A" w:rsidRPr="00C63EC0" w:rsidTr="00EA44C7">
        <w:tc>
          <w:tcPr>
            <w:tcW w:w="6048" w:type="dxa"/>
            <w:gridSpan w:val="4"/>
            <w:tcBorders>
              <w:top w:val="nil"/>
              <w:left w:val="nil"/>
              <w:bottom w:val="nil"/>
              <w:right w:val="nil"/>
            </w:tcBorders>
          </w:tcPr>
          <w:p w:rsidR="00712E3A" w:rsidRDefault="00712E3A" w:rsidP="00712E3A">
            <w:pPr>
              <w:rPr>
                <w:rFonts w:ascii="Times New Roman" w:hAnsi="Times New Roman" w:cs="Times New Roman"/>
                <w:i/>
                <w:sz w:val="24"/>
                <w:szCs w:val="24"/>
                <w:lang w:val="en-GB"/>
              </w:rPr>
            </w:pPr>
          </w:p>
          <w:p w:rsidR="00712E3A" w:rsidRDefault="00712E3A" w:rsidP="00712E3A">
            <w:pPr>
              <w:rPr>
                <w:rFonts w:ascii="Times New Roman" w:hAnsi="Times New Roman" w:cs="Times New Roman"/>
                <w:sz w:val="24"/>
                <w:szCs w:val="24"/>
                <w:lang w:val="en-GB"/>
              </w:rPr>
            </w:pPr>
            <w:r w:rsidRPr="00AF220A">
              <w:rPr>
                <w:rFonts w:ascii="Times New Roman" w:hAnsi="Times New Roman" w:cs="Times New Roman"/>
                <w:i/>
                <w:sz w:val="24"/>
                <w:szCs w:val="24"/>
                <w:lang w:val="en-GB"/>
              </w:rPr>
              <w:t>Sources</w:t>
            </w:r>
            <w:r>
              <w:rPr>
                <w:rFonts w:ascii="Times New Roman" w:hAnsi="Times New Roman" w:cs="Times New Roman"/>
                <w:sz w:val="24"/>
                <w:szCs w:val="24"/>
                <w:lang w:val="en-GB"/>
              </w:rPr>
              <w:t>: CEPALSTAT and CIAT-IDB</w:t>
            </w:r>
          </w:p>
          <w:p w:rsidR="00712E3A" w:rsidRDefault="00712E3A" w:rsidP="00712E3A">
            <w:pPr>
              <w:rPr>
                <w:rFonts w:ascii="Times New Roman" w:hAnsi="Times New Roman" w:cs="Times New Roman"/>
                <w:sz w:val="24"/>
                <w:szCs w:val="24"/>
                <w:lang w:val="en-GB"/>
              </w:rPr>
            </w:pPr>
          </w:p>
        </w:tc>
      </w:tr>
    </w:tbl>
    <w:p w:rsidR="00712E3A" w:rsidRDefault="009E6B31" w:rsidP="00712E3A">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Brazil’s status as the most heavily taxed country in Latin Am</w:t>
      </w:r>
      <w:r w:rsidR="004937FD" w:rsidRPr="00D9330B">
        <w:rPr>
          <w:rFonts w:ascii="Times New Roman" w:hAnsi="Times New Roman" w:cs="Times New Roman"/>
          <w:sz w:val="24"/>
          <w:szCs w:val="24"/>
          <w:lang w:val="en-GB"/>
        </w:rPr>
        <w:t>erica is not new, but it is</w:t>
      </w:r>
      <w:r w:rsidRPr="00D9330B">
        <w:rPr>
          <w:rFonts w:ascii="Times New Roman" w:hAnsi="Times New Roman" w:cs="Times New Roman"/>
          <w:sz w:val="24"/>
          <w:szCs w:val="24"/>
          <w:lang w:val="en-GB"/>
        </w:rPr>
        <w:t xml:space="preserve"> not a historica</w:t>
      </w:r>
      <w:r w:rsidR="0078123E" w:rsidRPr="00D9330B">
        <w:rPr>
          <w:rFonts w:ascii="Times New Roman" w:hAnsi="Times New Roman" w:cs="Times New Roman"/>
          <w:sz w:val="24"/>
          <w:szCs w:val="24"/>
          <w:lang w:val="en-GB"/>
        </w:rPr>
        <w:t>l constant</w:t>
      </w:r>
      <w:r w:rsidR="004937FD" w:rsidRPr="00D9330B">
        <w:rPr>
          <w:rFonts w:ascii="Times New Roman" w:hAnsi="Times New Roman" w:cs="Times New Roman"/>
          <w:sz w:val="24"/>
          <w:szCs w:val="24"/>
          <w:lang w:val="en-GB"/>
        </w:rPr>
        <w:t>, either</w:t>
      </w:r>
      <w:r w:rsidR="0078123E" w:rsidRPr="00D9330B">
        <w:rPr>
          <w:rFonts w:ascii="Times New Roman" w:hAnsi="Times New Roman" w:cs="Times New Roman"/>
          <w:sz w:val="24"/>
          <w:szCs w:val="24"/>
          <w:lang w:val="en-GB"/>
        </w:rPr>
        <w:t>. T</w:t>
      </w:r>
      <w:r w:rsidRPr="00D9330B">
        <w:rPr>
          <w:rFonts w:ascii="Times New Roman" w:hAnsi="Times New Roman" w:cs="Times New Roman"/>
          <w:sz w:val="24"/>
          <w:szCs w:val="24"/>
          <w:lang w:val="en-GB"/>
        </w:rPr>
        <w:t>able</w:t>
      </w:r>
      <w:r w:rsidR="0078123E" w:rsidRPr="00D9330B">
        <w:rPr>
          <w:rFonts w:ascii="Times New Roman" w:hAnsi="Times New Roman" w:cs="Times New Roman"/>
          <w:sz w:val="24"/>
          <w:szCs w:val="24"/>
          <w:lang w:val="en-GB"/>
        </w:rPr>
        <w:t xml:space="preserve"> 2</w:t>
      </w:r>
      <w:r w:rsidRPr="00D9330B">
        <w:rPr>
          <w:rFonts w:ascii="Times New Roman" w:hAnsi="Times New Roman" w:cs="Times New Roman"/>
          <w:sz w:val="24"/>
          <w:szCs w:val="24"/>
          <w:lang w:val="en-GB"/>
        </w:rPr>
        <w:t xml:space="preserve"> depicts the evolution of the tax burdens of the more deve</w:t>
      </w:r>
      <w:r w:rsidR="00F66AD3" w:rsidRPr="00D9330B">
        <w:rPr>
          <w:rFonts w:ascii="Times New Roman" w:hAnsi="Times New Roman" w:cs="Times New Roman"/>
          <w:sz w:val="24"/>
          <w:szCs w:val="24"/>
          <w:lang w:val="en-GB"/>
        </w:rPr>
        <w:t>loped Latin American countries</w:t>
      </w:r>
      <w:r w:rsidRPr="00D9330B">
        <w:rPr>
          <w:rFonts w:ascii="Times New Roman" w:hAnsi="Times New Roman" w:cs="Times New Roman"/>
          <w:sz w:val="24"/>
          <w:szCs w:val="24"/>
          <w:lang w:val="en-GB"/>
        </w:rPr>
        <w:t>, a category that includes all the most heavily taxed countries, since 1950. The figures are decadal averages.</w:t>
      </w:r>
      <w:r w:rsidR="00BE5C97" w:rsidRPr="00D9330B">
        <w:rPr>
          <w:rFonts w:ascii="Times New Roman" w:hAnsi="Times New Roman" w:cs="Times New Roman"/>
          <w:sz w:val="24"/>
          <w:szCs w:val="24"/>
          <w:lang w:val="en-GB"/>
        </w:rPr>
        <w:t xml:space="preserve"> In the 1950s Brazil and the Southern Cone countries clearly had the he</w:t>
      </w:r>
      <w:r w:rsidR="00DC21E8" w:rsidRPr="00D9330B">
        <w:rPr>
          <w:rFonts w:ascii="Times New Roman" w:hAnsi="Times New Roman" w:cs="Times New Roman"/>
          <w:sz w:val="24"/>
          <w:szCs w:val="24"/>
          <w:lang w:val="en-GB"/>
        </w:rPr>
        <w:t>aviest tax burdens</w:t>
      </w:r>
      <w:r w:rsidR="00BE5C97" w:rsidRPr="00D9330B">
        <w:rPr>
          <w:rFonts w:ascii="Times New Roman" w:hAnsi="Times New Roman" w:cs="Times New Roman"/>
          <w:sz w:val="24"/>
          <w:szCs w:val="24"/>
          <w:lang w:val="en-GB"/>
        </w:rPr>
        <w:t>.</w:t>
      </w:r>
      <w:r w:rsidRPr="00D9330B">
        <w:rPr>
          <w:rFonts w:ascii="Times New Roman" w:hAnsi="Times New Roman" w:cs="Times New Roman"/>
          <w:sz w:val="24"/>
          <w:szCs w:val="24"/>
          <w:lang w:val="en-GB"/>
        </w:rPr>
        <w:t xml:space="preserve"> </w:t>
      </w:r>
      <w:r w:rsidR="009A3758" w:rsidRPr="00D9330B">
        <w:rPr>
          <w:rFonts w:ascii="Times New Roman" w:hAnsi="Times New Roman" w:cs="Times New Roman"/>
          <w:sz w:val="24"/>
          <w:szCs w:val="24"/>
          <w:lang w:val="en-GB"/>
        </w:rPr>
        <w:t>Figure 1 compare</w:t>
      </w:r>
      <w:r w:rsidR="00BE5C97" w:rsidRPr="00D9330B">
        <w:rPr>
          <w:rFonts w:ascii="Times New Roman" w:hAnsi="Times New Roman" w:cs="Times New Roman"/>
          <w:sz w:val="24"/>
          <w:szCs w:val="24"/>
          <w:lang w:val="en-GB"/>
        </w:rPr>
        <w:t>s these four countries</w:t>
      </w:r>
      <w:r w:rsidR="009A3758" w:rsidRPr="00D9330B">
        <w:rPr>
          <w:rFonts w:ascii="Times New Roman" w:hAnsi="Times New Roman" w:cs="Times New Roman"/>
          <w:sz w:val="24"/>
          <w:szCs w:val="24"/>
          <w:lang w:val="en-GB"/>
        </w:rPr>
        <w:t xml:space="preserve"> </w:t>
      </w:r>
      <w:r w:rsidR="009A3758" w:rsidRPr="00D9330B">
        <w:rPr>
          <w:rFonts w:ascii="Times New Roman" w:hAnsi="Times New Roman" w:cs="Times New Roman"/>
          <w:sz w:val="24"/>
          <w:szCs w:val="24"/>
          <w:lang w:val="en-GB"/>
        </w:rPr>
        <w:lastRenderedPageBreak/>
        <w:t>using annual data.</w:t>
      </w:r>
      <w:r w:rsidR="003B5E49" w:rsidRPr="00D9330B">
        <w:rPr>
          <w:rFonts w:ascii="Times New Roman" w:hAnsi="Times New Roman" w:cs="Times New Roman"/>
          <w:sz w:val="24"/>
          <w:szCs w:val="24"/>
          <w:lang w:val="en-GB"/>
        </w:rPr>
        <w:t xml:space="preserve"> I</w:t>
      </w:r>
      <w:r w:rsidR="0012037E" w:rsidRPr="00D9330B">
        <w:rPr>
          <w:rFonts w:ascii="Times New Roman" w:hAnsi="Times New Roman" w:cs="Times New Roman"/>
          <w:sz w:val="24"/>
          <w:szCs w:val="24"/>
          <w:lang w:val="en-GB"/>
        </w:rPr>
        <w:t>n the early 1950s Brazil’s tax burden was substant</w:t>
      </w:r>
      <w:r w:rsidR="00BE1D54" w:rsidRPr="00D9330B">
        <w:rPr>
          <w:rFonts w:ascii="Times New Roman" w:hAnsi="Times New Roman" w:cs="Times New Roman"/>
          <w:sz w:val="24"/>
          <w:szCs w:val="24"/>
          <w:lang w:val="en-GB"/>
        </w:rPr>
        <w:t>ially lighter than Uruguay’s,</w:t>
      </w:r>
      <w:r w:rsidR="0012037E" w:rsidRPr="00D9330B">
        <w:rPr>
          <w:rFonts w:ascii="Times New Roman" w:hAnsi="Times New Roman" w:cs="Times New Roman"/>
          <w:sz w:val="24"/>
          <w:szCs w:val="24"/>
          <w:lang w:val="en-GB"/>
        </w:rPr>
        <w:t xml:space="preserve"> somewhat lighter than Argentina</w:t>
      </w:r>
      <w:r w:rsidR="003664A4" w:rsidRPr="00D9330B">
        <w:rPr>
          <w:rFonts w:ascii="Times New Roman" w:hAnsi="Times New Roman" w:cs="Times New Roman"/>
          <w:sz w:val="24"/>
          <w:szCs w:val="24"/>
          <w:lang w:val="en-GB"/>
        </w:rPr>
        <w:t>’s</w:t>
      </w:r>
      <w:r w:rsidR="0012037E" w:rsidRPr="00D9330B">
        <w:rPr>
          <w:rFonts w:ascii="Times New Roman" w:hAnsi="Times New Roman" w:cs="Times New Roman"/>
          <w:sz w:val="24"/>
          <w:szCs w:val="24"/>
          <w:lang w:val="en-GB"/>
        </w:rPr>
        <w:t xml:space="preserve"> and</w:t>
      </w:r>
      <w:r w:rsidR="00BE1D54" w:rsidRPr="00D9330B">
        <w:rPr>
          <w:rFonts w:ascii="Times New Roman" w:hAnsi="Times New Roman" w:cs="Times New Roman"/>
          <w:sz w:val="24"/>
          <w:szCs w:val="24"/>
          <w:lang w:val="en-GB"/>
        </w:rPr>
        <w:t xml:space="preserve"> slightly heavier than</w:t>
      </w:r>
      <w:r w:rsidR="0012037E" w:rsidRPr="00D9330B">
        <w:rPr>
          <w:rFonts w:ascii="Times New Roman" w:hAnsi="Times New Roman" w:cs="Times New Roman"/>
          <w:sz w:val="24"/>
          <w:szCs w:val="24"/>
          <w:lang w:val="en-GB"/>
        </w:rPr>
        <w:t xml:space="preserve"> Chile</w:t>
      </w:r>
      <w:r w:rsidR="003664A4" w:rsidRPr="00D9330B">
        <w:rPr>
          <w:rFonts w:ascii="Times New Roman" w:hAnsi="Times New Roman" w:cs="Times New Roman"/>
          <w:sz w:val="24"/>
          <w:szCs w:val="24"/>
          <w:lang w:val="en-GB"/>
        </w:rPr>
        <w:t>’s</w:t>
      </w:r>
      <w:r w:rsidR="00BE5C97" w:rsidRPr="00D9330B">
        <w:rPr>
          <w:rFonts w:ascii="Times New Roman" w:hAnsi="Times New Roman" w:cs="Times New Roman"/>
          <w:sz w:val="24"/>
          <w:szCs w:val="24"/>
          <w:lang w:val="en-GB"/>
        </w:rPr>
        <w:t xml:space="preserve">. </w:t>
      </w:r>
      <w:r w:rsidR="0078123E" w:rsidRPr="00D9330B">
        <w:rPr>
          <w:rFonts w:ascii="Times New Roman" w:hAnsi="Times New Roman" w:cs="Times New Roman"/>
          <w:sz w:val="24"/>
          <w:szCs w:val="24"/>
          <w:lang w:val="en-GB"/>
        </w:rPr>
        <w:t>However, by the ea</w:t>
      </w:r>
      <w:r w:rsidR="009A661E" w:rsidRPr="00D9330B">
        <w:rPr>
          <w:rFonts w:ascii="Times New Roman" w:hAnsi="Times New Roman" w:cs="Times New Roman"/>
          <w:sz w:val="24"/>
          <w:szCs w:val="24"/>
          <w:lang w:val="en-GB"/>
        </w:rPr>
        <w:t>rly 1980s Brazil had risen to the top of the ranking</w:t>
      </w:r>
      <w:r w:rsidR="0014329A" w:rsidRPr="00D9330B">
        <w:rPr>
          <w:rFonts w:ascii="Times New Roman" w:hAnsi="Times New Roman" w:cs="Times New Roman"/>
          <w:sz w:val="24"/>
          <w:szCs w:val="24"/>
          <w:lang w:val="en-GB"/>
        </w:rPr>
        <w:t>. This outcome</w:t>
      </w:r>
      <w:r w:rsidR="0078123E" w:rsidRPr="00D9330B">
        <w:rPr>
          <w:rFonts w:ascii="Times New Roman" w:hAnsi="Times New Roman" w:cs="Times New Roman"/>
          <w:sz w:val="24"/>
          <w:szCs w:val="24"/>
          <w:lang w:val="en-GB"/>
        </w:rPr>
        <w:t xml:space="preserve"> </w:t>
      </w:r>
      <w:r w:rsidR="003664A4" w:rsidRPr="00D9330B">
        <w:rPr>
          <w:rFonts w:ascii="Times New Roman" w:hAnsi="Times New Roman" w:cs="Times New Roman"/>
          <w:sz w:val="24"/>
          <w:szCs w:val="24"/>
          <w:lang w:val="en-GB"/>
        </w:rPr>
        <w:t>reflected both Brazil’s</w:t>
      </w:r>
      <w:r w:rsidR="0078123E" w:rsidRPr="00D9330B">
        <w:rPr>
          <w:rFonts w:ascii="Times New Roman" w:hAnsi="Times New Roman" w:cs="Times New Roman"/>
          <w:sz w:val="24"/>
          <w:szCs w:val="24"/>
          <w:lang w:val="en-GB"/>
        </w:rPr>
        <w:t xml:space="preserve"> own rapid revenue growth in </w:t>
      </w:r>
      <w:r w:rsidR="003664A4" w:rsidRPr="00D9330B">
        <w:rPr>
          <w:rFonts w:ascii="Times New Roman" w:hAnsi="Times New Roman" w:cs="Times New Roman"/>
          <w:sz w:val="24"/>
          <w:szCs w:val="24"/>
          <w:lang w:val="en-GB"/>
        </w:rPr>
        <w:t>the 1950s and the</w:t>
      </w:r>
      <w:r w:rsidR="0078123E" w:rsidRPr="00D9330B">
        <w:rPr>
          <w:rFonts w:ascii="Times New Roman" w:hAnsi="Times New Roman" w:cs="Times New Roman"/>
          <w:sz w:val="24"/>
          <w:szCs w:val="24"/>
          <w:lang w:val="en-GB"/>
        </w:rPr>
        <w:t xml:space="preserve"> second half of the 1960s and the stagnation of revenues in the other countries. In Argentina stagnation was evident by the late 1950s, while in Uruguay and Chile it appeared in the 1960s and 1970s, respectively</w:t>
      </w:r>
      <w:r w:rsidR="003664A4" w:rsidRPr="00D9330B">
        <w:rPr>
          <w:rFonts w:ascii="Times New Roman" w:hAnsi="Times New Roman" w:cs="Times New Roman"/>
          <w:sz w:val="24"/>
          <w:szCs w:val="24"/>
          <w:lang w:val="en-GB"/>
        </w:rPr>
        <w:t>. Since the 1</w:t>
      </w:r>
      <w:r w:rsidR="00BE5C97" w:rsidRPr="00D9330B">
        <w:rPr>
          <w:rFonts w:ascii="Times New Roman" w:hAnsi="Times New Roman" w:cs="Times New Roman"/>
          <w:sz w:val="24"/>
          <w:szCs w:val="24"/>
          <w:lang w:val="en-GB"/>
        </w:rPr>
        <w:t>980s Brazil has remained atop</w:t>
      </w:r>
      <w:r w:rsidR="003664A4" w:rsidRPr="00D9330B">
        <w:rPr>
          <w:rFonts w:ascii="Times New Roman" w:hAnsi="Times New Roman" w:cs="Times New Roman"/>
          <w:sz w:val="24"/>
          <w:szCs w:val="24"/>
          <w:lang w:val="en-GB"/>
        </w:rPr>
        <w:t xml:space="preserve"> the</w:t>
      </w:r>
      <w:r w:rsidR="00BE5C97" w:rsidRPr="00D9330B">
        <w:rPr>
          <w:rFonts w:ascii="Times New Roman" w:hAnsi="Times New Roman" w:cs="Times New Roman"/>
          <w:sz w:val="24"/>
          <w:szCs w:val="24"/>
          <w:lang w:val="en-GB"/>
        </w:rPr>
        <w:t xml:space="preserve"> regional</w:t>
      </w:r>
      <w:r w:rsidR="0078123E" w:rsidRPr="00D9330B">
        <w:rPr>
          <w:rFonts w:ascii="Times New Roman" w:hAnsi="Times New Roman" w:cs="Times New Roman"/>
          <w:sz w:val="24"/>
          <w:szCs w:val="24"/>
          <w:lang w:val="en-GB"/>
        </w:rPr>
        <w:t xml:space="preserve"> ranking</w:t>
      </w:r>
      <w:r w:rsidR="009A661E" w:rsidRPr="00D9330B">
        <w:rPr>
          <w:rFonts w:ascii="Times New Roman" w:hAnsi="Times New Roman" w:cs="Times New Roman"/>
          <w:sz w:val="24"/>
          <w:szCs w:val="24"/>
          <w:lang w:val="en-GB"/>
        </w:rPr>
        <w:t>, despite significant increases in Argen</w:t>
      </w:r>
      <w:r w:rsidR="0009479A" w:rsidRPr="00D9330B">
        <w:rPr>
          <w:rFonts w:ascii="Times New Roman" w:hAnsi="Times New Roman" w:cs="Times New Roman"/>
          <w:sz w:val="24"/>
          <w:szCs w:val="24"/>
          <w:lang w:val="en-GB"/>
        </w:rPr>
        <w:t>tina and Uruguay</w:t>
      </w:r>
      <w:r w:rsidR="000043E0">
        <w:rPr>
          <w:rFonts w:ascii="Times New Roman" w:hAnsi="Times New Roman" w:cs="Times New Roman"/>
          <w:sz w:val="24"/>
          <w:szCs w:val="24"/>
          <w:lang w:val="en-GB"/>
        </w:rPr>
        <w:t>, especially</w:t>
      </w:r>
      <w:r w:rsidR="0009479A" w:rsidRPr="00D9330B">
        <w:rPr>
          <w:rFonts w:ascii="Times New Roman" w:hAnsi="Times New Roman" w:cs="Times New Roman"/>
          <w:sz w:val="24"/>
          <w:szCs w:val="24"/>
          <w:lang w:val="en-GB"/>
        </w:rPr>
        <w:t xml:space="preserve"> in the last decade</w:t>
      </w:r>
      <w:r w:rsidR="009A661E" w:rsidRPr="00D9330B">
        <w:rPr>
          <w:rFonts w:ascii="Times New Roman" w:hAnsi="Times New Roman" w:cs="Times New Roman"/>
          <w:sz w:val="24"/>
          <w:szCs w:val="24"/>
          <w:lang w:val="en-GB"/>
        </w:rPr>
        <w:t>.</w:t>
      </w:r>
    </w:p>
    <w:p w:rsidR="00C46EB0" w:rsidRPr="00C63EC0" w:rsidRDefault="00C46EB0" w:rsidP="00712E3A">
      <w:pPr>
        <w:spacing w:after="0" w:line="240" w:lineRule="auto"/>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Table 2. </w:t>
      </w:r>
      <w:r w:rsidRPr="00C63EC0">
        <w:rPr>
          <w:rFonts w:ascii="Times New Roman" w:hAnsi="Times New Roman" w:cs="Times New Roman"/>
          <w:i/>
          <w:sz w:val="24"/>
          <w:szCs w:val="24"/>
          <w:lang w:val="en-GB"/>
        </w:rPr>
        <w:t>Tax Burdens in Middle-Income Latin America, 1950-2009</w:t>
      </w:r>
      <w:r>
        <w:rPr>
          <w:rFonts w:ascii="Times New Roman" w:hAnsi="Times New Roman" w:cs="Times New Roman"/>
          <w:i/>
          <w:sz w:val="24"/>
          <w:szCs w:val="24"/>
          <w:lang w:val="en-GB"/>
        </w:rPr>
        <w:t xml:space="preserve"> (% of GDP)</w:t>
      </w:r>
    </w:p>
    <w:tbl>
      <w:tblPr>
        <w:tblStyle w:val="TableGrid"/>
        <w:tblW w:w="0" w:type="auto"/>
        <w:tblLook w:val="04A0" w:firstRow="1" w:lastRow="0" w:firstColumn="1" w:lastColumn="0" w:noHBand="0" w:noVBand="1"/>
      </w:tblPr>
      <w:tblGrid>
        <w:gridCol w:w="2045"/>
        <w:gridCol w:w="1220"/>
        <w:gridCol w:w="1219"/>
        <w:gridCol w:w="1219"/>
        <w:gridCol w:w="1219"/>
        <w:gridCol w:w="1219"/>
        <w:gridCol w:w="1219"/>
      </w:tblGrid>
      <w:tr w:rsidR="00C46EB0" w:rsidRPr="00C63EC0" w:rsidTr="00C46EB0">
        <w:trPr>
          <w:trHeight w:val="305"/>
        </w:trPr>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Country</w:t>
            </w:r>
          </w:p>
        </w:tc>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1950s</w:t>
            </w:r>
          </w:p>
        </w:tc>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1960s</w:t>
            </w:r>
          </w:p>
        </w:tc>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1970s</w:t>
            </w:r>
          </w:p>
        </w:tc>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1980s</w:t>
            </w:r>
          </w:p>
        </w:tc>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1990s</w:t>
            </w:r>
          </w:p>
        </w:tc>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2000s</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Brazil</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16.1</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19.6</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25.4</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24.0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25.7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32.6</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Argentina</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16.1</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16.8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21.1</w:t>
            </w:r>
          </w:p>
        </w:tc>
      </w:tr>
      <w:tr w:rsidR="00C46EB0" w:rsidRPr="00C63EC0" w:rsidTr="00A30601">
        <w:trPr>
          <w:trHeight w:val="225"/>
        </w:trPr>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Chile</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21.8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25.6</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21.6</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17.3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18.5</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Colombia</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10.7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11.8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12.8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13.7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12.6</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16.9</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Costa Rica</w:t>
            </w:r>
            <w:r>
              <w:rPr>
                <w:rFonts w:ascii="Times New Roman" w:hAnsi="Times New Roman" w:cs="Times New Roman"/>
                <w:sz w:val="24"/>
                <w:szCs w:val="24"/>
                <w:vertAlign w:val="superscript"/>
                <w:lang w:val="en-GB"/>
              </w:rPr>
              <w:t>1</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10.8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14.0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19.6</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17.7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17.9</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20.8</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Mexico</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9.3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9.4</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12.2</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12.6</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11.8</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Peru</w:t>
            </w:r>
            <w:r w:rsidRPr="00547647">
              <w:rPr>
                <w:rFonts w:ascii="Times New Roman" w:hAnsi="Times New Roman" w:cs="Times New Roman"/>
                <w:sz w:val="24"/>
                <w:szCs w:val="24"/>
                <w:vertAlign w:val="superscript"/>
                <w:lang w:val="en-GB"/>
              </w:rPr>
              <w:t>2</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12.2</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16.0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13.0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16.7</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Uruguay</w:t>
            </w:r>
            <w:r w:rsidRPr="00CC7E89">
              <w:rPr>
                <w:rFonts w:ascii="Times New Roman" w:hAnsi="Times New Roman" w:cs="Times New Roman"/>
                <w:sz w:val="24"/>
                <w:szCs w:val="24"/>
                <w:vertAlign w:val="superscript"/>
                <w:lang w:val="en-GB"/>
              </w:rPr>
              <w:t>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19.8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22.3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22.1</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21.9</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22.0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25.6</w:t>
            </w:r>
          </w:p>
        </w:tc>
      </w:tr>
      <w:tr w:rsidR="00C46EB0" w:rsidRPr="00C63EC0" w:rsidTr="00C46EB0">
        <w:tc>
          <w:tcPr>
            <w:tcW w:w="0" w:type="auto"/>
            <w:tcBorders>
              <w:top w:val="nil"/>
              <w:left w:val="nil"/>
              <w:bottom w:val="nil"/>
              <w:right w:val="nil"/>
            </w:tcBorders>
          </w:tcPr>
          <w:p w:rsidR="00C46EB0" w:rsidRPr="00C63EC0" w:rsidRDefault="00C46EB0" w:rsidP="00712E3A">
            <w:pPr>
              <w:rPr>
                <w:rFonts w:ascii="Times New Roman" w:hAnsi="Times New Roman" w:cs="Times New Roman"/>
                <w:sz w:val="24"/>
                <w:szCs w:val="24"/>
                <w:lang w:val="en-GB"/>
              </w:rPr>
            </w:pPr>
            <w:r w:rsidRPr="00C63EC0">
              <w:rPr>
                <w:rFonts w:ascii="Times New Roman" w:hAnsi="Times New Roman" w:cs="Times New Roman"/>
                <w:sz w:val="24"/>
                <w:szCs w:val="24"/>
                <w:lang w:val="en-GB"/>
              </w:rPr>
              <w:t>Venezuela</w:t>
            </w:r>
            <w:r>
              <w:rPr>
                <w:rFonts w:ascii="Times New Roman" w:hAnsi="Times New Roman" w:cs="Times New Roman"/>
                <w:sz w:val="24"/>
                <w:szCs w:val="24"/>
                <w:vertAlign w:val="superscript"/>
                <w:lang w:val="en-GB"/>
              </w:rPr>
              <w:t>4</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12.8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13.7</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19.0</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17.8</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15.3</w:t>
            </w:r>
          </w:p>
        </w:tc>
        <w:tc>
          <w:tcPr>
            <w:tcW w:w="0" w:type="auto"/>
            <w:tcBorders>
              <w:top w:val="nil"/>
              <w:left w:val="nil"/>
              <w:bottom w:val="nil"/>
              <w:right w:val="nil"/>
            </w:tcBorders>
          </w:tcPr>
          <w:p w:rsidR="00C46EB0" w:rsidRPr="008C10B8" w:rsidRDefault="00C46EB0" w:rsidP="00712E3A">
            <w:pPr>
              <w:rPr>
                <w:rFonts w:ascii="Times New Roman" w:hAnsi="Times New Roman" w:cs="Times New Roman"/>
                <w:sz w:val="24"/>
                <w:szCs w:val="24"/>
                <w:lang w:val="en-GB"/>
              </w:rPr>
            </w:pPr>
            <w:r w:rsidRPr="008C10B8">
              <w:rPr>
                <w:rFonts w:ascii="Times New Roman" w:hAnsi="Times New Roman" w:cs="Times New Roman"/>
                <w:sz w:val="24"/>
                <w:szCs w:val="24"/>
                <w:lang w:val="en-GB"/>
              </w:rPr>
              <w:t>14.0</w:t>
            </w:r>
          </w:p>
        </w:tc>
      </w:tr>
      <w:tr w:rsidR="00C46EB0" w:rsidRPr="00C63EC0" w:rsidTr="00C46EB0">
        <w:tc>
          <w:tcPr>
            <w:tcW w:w="0" w:type="auto"/>
            <w:gridSpan w:val="7"/>
            <w:tcBorders>
              <w:top w:val="nil"/>
              <w:left w:val="nil"/>
              <w:bottom w:val="nil"/>
              <w:right w:val="nil"/>
            </w:tcBorders>
          </w:tcPr>
          <w:p w:rsidR="00712E3A" w:rsidRDefault="00712E3A" w:rsidP="00C46EB0">
            <w:pPr>
              <w:rPr>
                <w:rFonts w:ascii="Times New Roman" w:hAnsi="Times New Roman" w:cs="Times New Roman"/>
                <w:sz w:val="24"/>
                <w:szCs w:val="24"/>
                <w:vertAlign w:val="superscript"/>
                <w:lang w:val="en-GB"/>
              </w:rPr>
            </w:pPr>
          </w:p>
          <w:p w:rsidR="00C46EB0" w:rsidRPr="00D65EDA" w:rsidRDefault="00C46EB0" w:rsidP="00C46EB0">
            <w:pPr>
              <w:rPr>
                <w:rFonts w:ascii="Times New Roman" w:hAnsi="Times New Roman" w:cs="Times New Roman"/>
                <w:sz w:val="24"/>
                <w:szCs w:val="24"/>
                <w:lang w:val="en-GB"/>
              </w:rPr>
            </w:pPr>
            <w:r w:rsidRPr="004B5ED7">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Figure for the 1950s excludes subnational taxes and social security. Figure for the 1960s excludes subnational taxes.</w:t>
            </w:r>
          </w:p>
          <w:p w:rsidR="00C46EB0" w:rsidRDefault="00C46EB0" w:rsidP="00C46EB0">
            <w:pPr>
              <w:rPr>
                <w:rFonts w:ascii="Times New Roman" w:hAnsi="Times New Roman" w:cs="Times New Roman"/>
                <w:sz w:val="24"/>
                <w:szCs w:val="24"/>
                <w:lang w:val="en-GB"/>
              </w:rPr>
            </w:pPr>
            <w:r>
              <w:rPr>
                <w:rFonts w:ascii="Times New Roman" w:hAnsi="Times New Roman" w:cs="Times New Roman"/>
                <w:sz w:val="24"/>
                <w:szCs w:val="24"/>
                <w:vertAlign w:val="superscript"/>
                <w:lang w:val="en-GB"/>
              </w:rPr>
              <w:t xml:space="preserve">2 </w:t>
            </w:r>
            <w:r>
              <w:rPr>
                <w:rFonts w:ascii="Times New Roman" w:hAnsi="Times New Roman" w:cs="Times New Roman"/>
                <w:sz w:val="24"/>
                <w:szCs w:val="24"/>
                <w:lang w:val="en-GB"/>
              </w:rPr>
              <w:t>Figures for the 19</w:t>
            </w:r>
            <w:r w:rsidRPr="00AB7929">
              <w:rPr>
                <w:rFonts w:ascii="Times New Roman" w:hAnsi="Times New Roman" w:cs="Times New Roman"/>
                <w:sz w:val="24"/>
                <w:szCs w:val="24"/>
                <w:lang w:val="en-GB"/>
              </w:rPr>
              <w:t>50s</w:t>
            </w:r>
            <w:r>
              <w:rPr>
                <w:rFonts w:ascii="Times New Roman" w:hAnsi="Times New Roman" w:cs="Times New Roman"/>
                <w:sz w:val="24"/>
                <w:szCs w:val="24"/>
                <w:lang w:val="en-GB"/>
              </w:rPr>
              <w:t xml:space="preserve"> and 1980s exclude subnational taxes. </w:t>
            </w:r>
          </w:p>
          <w:p w:rsidR="00C46EB0" w:rsidRPr="00547647" w:rsidRDefault="00C46EB0" w:rsidP="00C46EB0">
            <w:pPr>
              <w:rPr>
                <w:rFonts w:ascii="Times New Roman" w:hAnsi="Times New Roman" w:cs="Times New Roman"/>
                <w:sz w:val="24"/>
                <w:szCs w:val="24"/>
                <w:lang w:val="en-GB"/>
              </w:rPr>
            </w:pPr>
            <w:r w:rsidRPr="00BA3EBA">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xml:space="preserve"> Pre-1990 figures exclude some municipal taxes.</w:t>
            </w:r>
          </w:p>
          <w:p w:rsidR="00C46EB0" w:rsidRPr="000420D8" w:rsidRDefault="00C46EB0" w:rsidP="00C46EB0">
            <w:pPr>
              <w:rPr>
                <w:rFonts w:ascii="Times New Roman" w:hAnsi="Times New Roman" w:cs="Times New Roman"/>
                <w:sz w:val="24"/>
                <w:szCs w:val="24"/>
                <w:lang w:val="en-GB"/>
              </w:rPr>
            </w:pPr>
            <w:r>
              <w:rPr>
                <w:rFonts w:ascii="Times New Roman" w:hAnsi="Times New Roman" w:cs="Times New Roman"/>
                <w:sz w:val="24"/>
                <w:szCs w:val="24"/>
                <w:vertAlign w:val="superscript"/>
                <w:lang w:val="en-GB"/>
              </w:rPr>
              <w:t>4</w:t>
            </w:r>
            <w:r>
              <w:rPr>
                <w:rFonts w:ascii="Times New Roman" w:hAnsi="Times New Roman" w:cs="Times New Roman"/>
                <w:sz w:val="24"/>
                <w:szCs w:val="24"/>
                <w:lang w:val="en-GB"/>
              </w:rPr>
              <w:t xml:space="preserve"> Figures includes some non-tax revenues from state oil company. Pre-1990s figures exclude social security. Figures for the 1950s, 1960s, 1990s and 2000s exclude subnational taxes.</w:t>
            </w:r>
          </w:p>
          <w:p w:rsidR="00C46EB0" w:rsidRPr="00C63EC0" w:rsidRDefault="00C46EB0" w:rsidP="00C46EB0">
            <w:pPr>
              <w:rPr>
                <w:rFonts w:ascii="Times New Roman" w:hAnsi="Times New Roman" w:cs="Times New Roman"/>
                <w:sz w:val="24"/>
                <w:szCs w:val="24"/>
                <w:lang w:val="en-GB"/>
              </w:rPr>
            </w:pPr>
            <w:r w:rsidRPr="00D56B07">
              <w:rPr>
                <w:rFonts w:ascii="Times New Roman" w:hAnsi="Times New Roman" w:cs="Times New Roman"/>
                <w:i/>
                <w:sz w:val="24"/>
                <w:szCs w:val="24"/>
                <w:lang w:val="en-GB"/>
              </w:rPr>
              <w:t>Sources</w:t>
            </w:r>
            <w:r w:rsidRPr="009A13A5">
              <w:rPr>
                <w:rFonts w:ascii="Times New Roman" w:hAnsi="Times New Roman" w:cs="Times New Roman"/>
                <w:sz w:val="24"/>
                <w:szCs w:val="24"/>
                <w:lang w:val="en-GB"/>
              </w:rPr>
              <w:t xml:space="preserve">: </w:t>
            </w:r>
            <w:r w:rsidRPr="00C63EC0">
              <w:rPr>
                <w:rFonts w:ascii="Times New Roman" w:hAnsi="Times New Roman" w:cs="Times New Roman"/>
                <w:sz w:val="24"/>
                <w:szCs w:val="24"/>
                <w:lang w:val="en-GB"/>
              </w:rPr>
              <w:t xml:space="preserve">Data </w:t>
            </w:r>
            <w:r>
              <w:rPr>
                <w:rFonts w:ascii="Times New Roman" w:hAnsi="Times New Roman" w:cs="Times New Roman"/>
                <w:sz w:val="24"/>
                <w:szCs w:val="24"/>
                <w:lang w:val="en-GB"/>
              </w:rPr>
              <w:t>for 1990-2009 are from CEPALSTAT and CIAT-IDB. For</w:t>
            </w:r>
            <w:r w:rsidRPr="00C63EC0">
              <w:rPr>
                <w:rFonts w:ascii="Times New Roman" w:hAnsi="Times New Roman" w:cs="Times New Roman"/>
                <w:sz w:val="24"/>
                <w:szCs w:val="24"/>
                <w:lang w:val="en-GB"/>
              </w:rPr>
              <w:t xml:space="preserve"> earlier decades</w:t>
            </w:r>
            <w:r>
              <w:rPr>
                <w:rFonts w:ascii="Times New Roman" w:hAnsi="Times New Roman" w:cs="Times New Roman"/>
                <w:sz w:val="24"/>
                <w:szCs w:val="24"/>
                <w:lang w:val="en-GB"/>
              </w:rPr>
              <w:t>, the sources are</w:t>
            </w:r>
            <w:r w:rsidRPr="00C63EC0">
              <w:rPr>
                <w:rFonts w:ascii="Times New Roman" w:hAnsi="Times New Roman" w:cs="Times New Roman"/>
                <w:sz w:val="24"/>
                <w:szCs w:val="24"/>
                <w:lang w:val="en-GB"/>
              </w:rPr>
              <w:t xml:space="preserve">: </w:t>
            </w:r>
          </w:p>
          <w:p w:rsidR="00C46EB0" w:rsidRPr="00E676EA" w:rsidRDefault="00C46EB0" w:rsidP="00C46EB0">
            <w:pPr>
              <w:rPr>
                <w:rFonts w:ascii="Times New Roman" w:hAnsi="Times New Roman" w:cs="Times New Roman"/>
                <w:sz w:val="24"/>
                <w:szCs w:val="24"/>
                <w:lang w:val="es-CL"/>
              </w:rPr>
            </w:pPr>
            <w:r w:rsidRPr="00E676EA">
              <w:rPr>
                <w:rFonts w:ascii="Times New Roman" w:hAnsi="Times New Roman" w:cs="Times New Roman"/>
                <w:sz w:val="24"/>
                <w:szCs w:val="24"/>
                <w:lang w:val="es-CL"/>
              </w:rPr>
              <w:t xml:space="preserve">Argentina: Oscar </w:t>
            </w:r>
            <w:proofErr w:type="spellStart"/>
            <w:r w:rsidRPr="00E676EA">
              <w:rPr>
                <w:rFonts w:ascii="Times New Roman" w:hAnsi="Times New Roman" w:cs="Times New Roman"/>
                <w:sz w:val="24"/>
                <w:szCs w:val="24"/>
                <w:lang w:val="es-CL"/>
              </w:rPr>
              <w:t>Cetrángolo</w:t>
            </w:r>
            <w:proofErr w:type="spellEnd"/>
            <w:r w:rsidRPr="00E676EA">
              <w:rPr>
                <w:rFonts w:ascii="Times New Roman" w:hAnsi="Times New Roman" w:cs="Times New Roman"/>
                <w:sz w:val="24"/>
                <w:szCs w:val="24"/>
                <w:lang w:val="es-CL"/>
              </w:rPr>
              <w:t xml:space="preserve"> and </w:t>
            </w:r>
            <w:r>
              <w:rPr>
                <w:rFonts w:ascii="Times New Roman" w:hAnsi="Times New Roman" w:cs="Times New Roman"/>
                <w:sz w:val="24"/>
                <w:szCs w:val="24"/>
                <w:lang w:val="es-CL"/>
              </w:rPr>
              <w:t xml:space="preserve">Juan Carlos </w:t>
            </w:r>
            <w:proofErr w:type="spellStart"/>
            <w:r w:rsidRPr="00E676EA">
              <w:rPr>
                <w:rFonts w:ascii="Times New Roman" w:hAnsi="Times New Roman" w:cs="Times New Roman"/>
                <w:sz w:val="24"/>
                <w:szCs w:val="24"/>
                <w:lang w:val="es-CL"/>
              </w:rPr>
              <w:t>Gomez</w:t>
            </w:r>
            <w:proofErr w:type="spellEnd"/>
            <w:r w:rsidRPr="00E676EA">
              <w:rPr>
                <w:rFonts w:ascii="Times New Roman" w:hAnsi="Times New Roman" w:cs="Times New Roman"/>
                <w:sz w:val="24"/>
                <w:szCs w:val="24"/>
                <w:lang w:val="es-CL"/>
              </w:rPr>
              <w:t xml:space="preserve"> </w:t>
            </w:r>
            <w:proofErr w:type="spellStart"/>
            <w:r w:rsidRPr="00E676EA">
              <w:rPr>
                <w:rFonts w:ascii="Times New Roman" w:hAnsi="Times New Roman" w:cs="Times New Roman"/>
                <w:sz w:val="24"/>
                <w:szCs w:val="24"/>
                <w:lang w:val="es-CL"/>
              </w:rPr>
              <w:t>Sabaini</w:t>
            </w:r>
            <w:proofErr w:type="spellEnd"/>
            <w:r w:rsidRPr="00E676EA">
              <w:rPr>
                <w:rFonts w:ascii="Times New Roman" w:hAnsi="Times New Roman" w:cs="Times New Roman"/>
                <w:sz w:val="24"/>
                <w:szCs w:val="24"/>
                <w:lang w:val="es-CL"/>
              </w:rPr>
              <w:t>,</w:t>
            </w:r>
            <w:r w:rsidRPr="00E676EA">
              <w:rPr>
                <w:lang w:val="es-CL"/>
              </w:rPr>
              <w:t xml:space="preserve"> </w:t>
            </w:r>
            <w:r>
              <w:rPr>
                <w:lang w:val="es-CL"/>
              </w:rPr>
              <w:t>‘</w:t>
            </w:r>
            <w:r w:rsidRPr="00E676EA">
              <w:rPr>
                <w:rFonts w:ascii="Times New Roman" w:hAnsi="Times New Roman" w:cs="Times New Roman"/>
                <w:sz w:val="24"/>
                <w:szCs w:val="24"/>
                <w:lang w:val="es-CL"/>
              </w:rPr>
              <w:t xml:space="preserve">Política tributaria en Argentina. Entre la solvencia y la emergencia’, ECLAC, 2007. </w:t>
            </w:r>
          </w:p>
          <w:p w:rsidR="00C46EB0" w:rsidRPr="007B532D" w:rsidRDefault="00C46EB0" w:rsidP="00C46EB0">
            <w:pPr>
              <w:rPr>
                <w:rFonts w:ascii="Times New Roman" w:hAnsi="Times New Roman" w:cs="Times New Roman"/>
                <w:sz w:val="24"/>
                <w:szCs w:val="24"/>
                <w:lang w:val="es-CL"/>
              </w:rPr>
            </w:pPr>
            <w:proofErr w:type="spellStart"/>
            <w:r w:rsidRPr="00E676EA">
              <w:rPr>
                <w:rFonts w:ascii="Times New Roman" w:hAnsi="Times New Roman" w:cs="Times New Roman"/>
                <w:sz w:val="24"/>
                <w:szCs w:val="24"/>
                <w:lang w:val="es-CL"/>
              </w:rPr>
              <w:t>Brazil</w:t>
            </w:r>
            <w:proofErr w:type="spellEnd"/>
            <w:r w:rsidRPr="00E676EA">
              <w:rPr>
                <w:rFonts w:ascii="Times New Roman" w:hAnsi="Times New Roman" w:cs="Times New Roman"/>
                <w:sz w:val="24"/>
                <w:szCs w:val="24"/>
                <w:lang w:val="es-CL"/>
              </w:rPr>
              <w:t xml:space="preserve">: Instituto Brasileiro de </w:t>
            </w:r>
            <w:proofErr w:type="spellStart"/>
            <w:r w:rsidRPr="00E676EA">
              <w:rPr>
                <w:rFonts w:ascii="Times New Roman" w:hAnsi="Times New Roman" w:cs="Times New Roman"/>
                <w:sz w:val="24"/>
                <w:szCs w:val="24"/>
                <w:lang w:val="es-CL"/>
              </w:rPr>
              <w:t>Geografia</w:t>
            </w:r>
            <w:proofErr w:type="spellEnd"/>
            <w:r w:rsidRPr="00E676EA">
              <w:rPr>
                <w:rFonts w:ascii="Times New Roman" w:hAnsi="Times New Roman" w:cs="Times New Roman"/>
                <w:sz w:val="24"/>
                <w:szCs w:val="24"/>
                <w:lang w:val="es-CL"/>
              </w:rPr>
              <w:t xml:space="preserve"> e </w:t>
            </w:r>
            <w:proofErr w:type="spellStart"/>
            <w:r w:rsidRPr="00E676EA">
              <w:rPr>
                <w:rFonts w:ascii="Times New Roman" w:hAnsi="Times New Roman" w:cs="Times New Roman"/>
                <w:sz w:val="24"/>
                <w:szCs w:val="24"/>
                <w:lang w:val="es-CL"/>
              </w:rPr>
              <w:t>Estatística</w:t>
            </w:r>
            <w:proofErr w:type="spellEnd"/>
            <w:r w:rsidRPr="00E676EA">
              <w:rPr>
                <w:rFonts w:ascii="Times New Roman" w:hAnsi="Times New Roman" w:cs="Times New Roman"/>
                <w:sz w:val="24"/>
                <w:szCs w:val="24"/>
                <w:lang w:val="es-CL"/>
              </w:rPr>
              <w:t xml:space="preserve"> (IBGE), </w:t>
            </w:r>
            <w:proofErr w:type="spellStart"/>
            <w:r w:rsidRPr="00E676EA">
              <w:rPr>
                <w:rFonts w:ascii="Times New Roman" w:hAnsi="Times New Roman" w:cs="Times New Roman"/>
                <w:i/>
                <w:sz w:val="24"/>
                <w:szCs w:val="24"/>
                <w:lang w:val="es-CL"/>
              </w:rPr>
              <w:t>Estatísticas</w:t>
            </w:r>
            <w:proofErr w:type="spellEnd"/>
            <w:r w:rsidRPr="00E676EA">
              <w:rPr>
                <w:rFonts w:ascii="Times New Roman" w:hAnsi="Times New Roman" w:cs="Times New Roman"/>
                <w:i/>
                <w:sz w:val="24"/>
                <w:szCs w:val="24"/>
                <w:lang w:val="es-CL"/>
              </w:rPr>
              <w:t xml:space="preserve"> do </w:t>
            </w:r>
            <w:proofErr w:type="spellStart"/>
            <w:r w:rsidRPr="00E676EA">
              <w:rPr>
                <w:rFonts w:ascii="Times New Roman" w:hAnsi="Times New Roman" w:cs="Times New Roman"/>
                <w:i/>
                <w:sz w:val="24"/>
                <w:szCs w:val="24"/>
                <w:lang w:val="es-CL"/>
              </w:rPr>
              <w:t>Século</w:t>
            </w:r>
            <w:proofErr w:type="spellEnd"/>
            <w:r w:rsidRPr="00E676EA">
              <w:rPr>
                <w:rFonts w:ascii="Times New Roman" w:hAnsi="Times New Roman" w:cs="Times New Roman"/>
                <w:i/>
                <w:sz w:val="24"/>
                <w:szCs w:val="24"/>
                <w:lang w:val="es-CL"/>
              </w:rPr>
              <w:t xml:space="preserve"> XX</w:t>
            </w:r>
            <w:r w:rsidRPr="00E676EA">
              <w:rPr>
                <w:rFonts w:ascii="Times New Roman" w:hAnsi="Times New Roman" w:cs="Times New Roman"/>
                <w:sz w:val="24"/>
                <w:szCs w:val="24"/>
                <w:lang w:val="es-CL"/>
              </w:rPr>
              <w:t xml:space="preserve">, </w:t>
            </w:r>
            <w:r>
              <w:rPr>
                <w:rFonts w:ascii="Times New Roman" w:hAnsi="Times New Roman" w:cs="Times New Roman"/>
                <w:sz w:val="24"/>
                <w:szCs w:val="24"/>
                <w:lang w:val="es-CL"/>
              </w:rPr>
              <w:t>2006.</w:t>
            </w:r>
          </w:p>
          <w:p w:rsidR="00C46EB0" w:rsidRPr="00C63EC0" w:rsidRDefault="00C46EB0" w:rsidP="00C46EB0">
            <w:pPr>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Chile: </w:t>
            </w:r>
            <w:r w:rsidRPr="00C63EC0">
              <w:rPr>
                <w:rFonts w:ascii="Times New Roman" w:hAnsi="Times New Roman" w:cs="Times New Roman"/>
                <w:sz w:val="24"/>
                <w:szCs w:val="24"/>
              </w:rPr>
              <w:t xml:space="preserve">José Diaz, Rolf </w:t>
            </w:r>
            <w:proofErr w:type="spellStart"/>
            <w:r w:rsidRPr="00C63EC0">
              <w:rPr>
                <w:rFonts w:ascii="Times New Roman" w:hAnsi="Times New Roman" w:cs="Times New Roman"/>
                <w:sz w:val="24"/>
                <w:szCs w:val="24"/>
              </w:rPr>
              <w:t>Lüder</w:t>
            </w:r>
            <w:proofErr w:type="spellEnd"/>
            <w:r w:rsidRPr="00C63EC0">
              <w:rPr>
                <w:rFonts w:ascii="Times New Roman" w:hAnsi="Times New Roman" w:cs="Times New Roman"/>
                <w:sz w:val="24"/>
                <w:szCs w:val="24"/>
              </w:rPr>
              <w:t xml:space="preserve">, and </w:t>
            </w:r>
            <w:proofErr w:type="spellStart"/>
            <w:r w:rsidRPr="00C63EC0">
              <w:rPr>
                <w:rFonts w:ascii="Times New Roman" w:hAnsi="Times New Roman" w:cs="Times New Roman"/>
                <w:sz w:val="24"/>
                <w:szCs w:val="24"/>
              </w:rPr>
              <w:t>Gert</w:t>
            </w:r>
            <w:proofErr w:type="spellEnd"/>
            <w:r w:rsidRPr="00C63EC0">
              <w:rPr>
                <w:rFonts w:ascii="Times New Roman" w:hAnsi="Times New Roman" w:cs="Times New Roman"/>
                <w:sz w:val="24"/>
                <w:szCs w:val="24"/>
              </w:rPr>
              <w:t xml:space="preserve"> Wagner, ‘La </w:t>
            </w:r>
            <w:proofErr w:type="spellStart"/>
            <w:r w:rsidRPr="00C63EC0">
              <w:rPr>
                <w:rFonts w:ascii="Times New Roman" w:hAnsi="Times New Roman" w:cs="Times New Roman"/>
                <w:sz w:val="24"/>
                <w:szCs w:val="24"/>
              </w:rPr>
              <w:t>república</w:t>
            </w:r>
            <w:proofErr w:type="spellEnd"/>
            <w:r w:rsidRPr="00C63EC0">
              <w:rPr>
                <w:rFonts w:ascii="Times New Roman" w:hAnsi="Times New Roman" w:cs="Times New Roman"/>
                <w:sz w:val="24"/>
                <w:szCs w:val="24"/>
              </w:rPr>
              <w:t xml:space="preserve"> </w:t>
            </w:r>
            <w:proofErr w:type="spellStart"/>
            <w:r w:rsidRPr="00C63EC0">
              <w:rPr>
                <w:rFonts w:ascii="Times New Roman" w:hAnsi="Times New Roman" w:cs="Times New Roman"/>
                <w:sz w:val="24"/>
                <w:szCs w:val="24"/>
              </w:rPr>
              <w:t>en</w:t>
            </w:r>
            <w:proofErr w:type="spellEnd"/>
            <w:r w:rsidRPr="00C63EC0">
              <w:rPr>
                <w:rFonts w:ascii="Times New Roman" w:hAnsi="Times New Roman" w:cs="Times New Roman"/>
                <w:sz w:val="24"/>
                <w:szCs w:val="24"/>
              </w:rPr>
              <w:t xml:space="preserve"> </w:t>
            </w:r>
            <w:proofErr w:type="spellStart"/>
            <w:r w:rsidRPr="00C63EC0">
              <w:rPr>
                <w:rFonts w:ascii="Times New Roman" w:hAnsi="Times New Roman" w:cs="Times New Roman"/>
                <w:sz w:val="24"/>
                <w:szCs w:val="24"/>
              </w:rPr>
              <w:t>cifras</w:t>
            </w:r>
            <w:proofErr w:type="spellEnd"/>
            <w:r w:rsidRPr="00C63EC0">
              <w:rPr>
                <w:rFonts w:ascii="Times New Roman" w:hAnsi="Times New Roman" w:cs="Times New Roman"/>
                <w:sz w:val="24"/>
                <w:szCs w:val="24"/>
              </w:rPr>
              <w:t xml:space="preserve">’, </w:t>
            </w:r>
            <w:proofErr w:type="spellStart"/>
            <w:r w:rsidRPr="00C63EC0">
              <w:rPr>
                <w:rFonts w:ascii="Times New Roman" w:hAnsi="Times New Roman" w:cs="Times New Roman"/>
                <w:sz w:val="24"/>
                <w:szCs w:val="24"/>
              </w:rPr>
              <w:t>Pontificia</w:t>
            </w:r>
            <w:proofErr w:type="spellEnd"/>
            <w:r w:rsidRPr="00C63EC0">
              <w:rPr>
                <w:rFonts w:ascii="Times New Roman" w:hAnsi="Times New Roman" w:cs="Times New Roman"/>
                <w:sz w:val="24"/>
                <w:szCs w:val="24"/>
              </w:rPr>
              <w:t xml:space="preserve"> Universidad </w:t>
            </w:r>
            <w:proofErr w:type="spellStart"/>
            <w:r w:rsidRPr="00C63EC0">
              <w:rPr>
                <w:rFonts w:ascii="Times New Roman" w:hAnsi="Times New Roman" w:cs="Times New Roman"/>
                <w:sz w:val="24"/>
                <w:szCs w:val="24"/>
              </w:rPr>
              <w:t>Católica</w:t>
            </w:r>
            <w:proofErr w:type="spellEnd"/>
            <w:r w:rsidRPr="00C63EC0">
              <w:rPr>
                <w:rFonts w:ascii="Times New Roman" w:hAnsi="Times New Roman" w:cs="Times New Roman"/>
                <w:sz w:val="24"/>
                <w:szCs w:val="24"/>
              </w:rPr>
              <w:t xml:space="preserve"> de Chile, 2010; and World Bank,</w:t>
            </w:r>
            <w:r w:rsidRPr="00C63EC0">
              <w:rPr>
                <w:rFonts w:ascii="Times New Roman" w:hAnsi="Times New Roman" w:cs="Times New Roman"/>
                <w:sz w:val="24"/>
                <w:szCs w:val="24"/>
                <w:lang w:val="en-GB"/>
              </w:rPr>
              <w:t xml:space="preserve"> ‘Current Economic Position and Prospects of Chile’, 1961</w:t>
            </w:r>
            <w:r>
              <w:rPr>
                <w:rFonts w:ascii="Times New Roman" w:hAnsi="Times New Roman" w:cs="Times New Roman"/>
                <w:sz w:val="24"/>
                <w:szCs w:val="24"/>
                <w:lang w:val="en-GB"/>
              </w:rPr>
              <w:t>, 1966 and 1970</w:t>
            </w:r>
            <w:r w:rsidRPr="00C63EC0">
              <w:rPr>
                <w:rFonts w:ascii="Times New Roman" w:hAnsi="Times New Roman" w:cs="Times New Roman"/>
                <w:sz w:val="24"/>
                <w:szCs w:val="24"/>
                <w:lang w:val="en-GB"/>
              </w:rPr>
              <w:t>; and ‘Chile: An Economic Memorandum’, 1984.</w:t>
            </w:r>
          </w:p>
          <w:p w:rsidR="00C46EB0" w:rsidRPr="00C63EC0" w:rsidRDefault="00C46EB0" w:rsidP="00C46EB0">
            <w:pPr>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Colombia: William Easterly, ‘The Macroeconomics of the Public Sector Deficit: The Case </w:t>
            </w:r>
            <w:r>
              <w:rPr>
                <w:rFonts w:ascii="Times New Roman" w:hAnsi="Times New Roman" w:cs="Times New Roman"/>
                <w:sz w:val="24"/>
                <w:szCs w:val="24"/>
                <w:lang w:val="en-GB"/>
              </w:rPr>
              <w:t>of Colombia’, World Bank, 1991</w:t>
            </w:r>
            <w:r w:rsidRPr="00C63EC0">
              <w:rPr>
                <w:rFonts w:ascii="Times New Roman" w:hAnsi="Times New Roman" w:cs="Times New Roman"/>
                <w:sz w:val="24"/>
                <w:szCs w:val="24"/>
                <w:lang w:val="en-GB"/>
              </w:rPr>
              <w:t>; and World Bank, ‘Economic Position and</w:t>
            </w:r>
            <w:r>
              <w:rPr>
                <w:rFonts w:ascii="Times New Roman" w:hAnsi="Times New Roman" w:cs="Times New Roman"/>
                <w:sz w:val="24"/>
                <w:szCs w:val="24"/>
                <w:lang w:val="en-GB"/>
              </w:rPr>
              <w:t xml:space="preserve"> Prospects of Colombia’, 1973 and </w:t>
            </w:r>
            <w:r w:rsidRPr="00C63EC0">
              <w:rPr>
                <w:rFonts w:ascii="Times New Roman" w:hAnsi="Times New Roman" w:cs="Times New Roman"/>
                <w:sz w:val="24"/>
                <w:szCs w:val="24"/>
                <w:lang w:val="en-GB"/>
              </w:rPr>
              <w:t>1979</w:t>
            </w:r>
            <w:r>
              <w:rPr>
                <w:rFonts w:ascii="Times New Roman" w:hAnsi="Times New Roman" w:cs="Times New Roman"/>
                <w:sz w:val="24"/>
                <w:szCs w:val="24"/>
                <w:lang w:val="en-GB"/>
              </w:rPr>
              <w:t>; and ‘Colombia: Economic Development and Policy under Changing Conditions’ 1983</w:t>
            </w:r>
            <w:r w:rsidRPr="00C63EC0">
              <w:rPr>
                <w:rFonts w:ascii="Times New Roman" w:hAnsi="Times New Roman" w:cs="Times New Roman"/>
                <w:sz w:val="24"/>
                <w:szCs w:val="24"/>
                <w:lang w:val="en-GB"/>
              </w:rPr>
              <w:t>.</w:t>
            </w:r>
          </w:p>
          <w:p w:rsidR="00C46EB0" w:rsidRPr="004B5ED7" w:rsidRDefault="00C46EB0" w:rsidP="00C46EB0">
            <w:pPr>
              <w:rPr>
                <w:rFonts w:ascii="Times New Roman" w:hAnsi="Times New Roman" w:cs="Times New Roman"/>
                <w:sz w:val="24"/>
                <w:szCs w:val="24"/>
                <w:lang w:val="en-GB"/>
              </w:rPr>
            </w:pPr>
            <w:r w:rsidRPr="00C63EC0">
              <w:rPr>
                <w:rFonts w:ascii="Times New Roman" w:hAnsi="Times New Roman" w:cs="Times New Roman"/>
                <w:sz w:val="24"/>
                <w:szCs w:val="24"/>
                <w:lang w:val="en-GB"/>
              </w:rPr>
              <w:lastRenderedPageBreak/>
              <w:t xml:space="preserve">Costa Rica: </w:t>
            </w:r>
            <w:r>
              <w:rPr>
                <w:rFonts w:ascii="Times New Roman" w:hAnsi="Times New Roman" w:cs="Times New Roman"/>
                <w:sz w:val="24"/>
                <w:szCs w:val="24"/>
                <w:lang w:val="en-GB"/>
              </w:rPr>
              <w:t xml:space="preserve">World Bank, </w:t>
            </w:r>
            <w:r w:rsidRPr="00C63EC0">
              <w:rPr>
                <w:rFonts w:ascii="Times New Roman" w:hAnsi="Times New Roman" w:cs="Times New Roman"/>
                <w:sz w:val="24"/>
                <w:szCs w:val="24"/>
                <w:lang w:val="en-GB"/>
              </w:rPr>
              <w:t>‘Current Economic Position and Prospects of Costa Rica’, 1965</w:t>
            </w:r>
            <w:r>
              <w:rPr>
                <w:rFonts w:ascii="Times New Roman" w:hAnsi="Times New Roman" w:cs="Times New Roman"/>
                <w:sz w:val="24"/>
                <w:szCs w:val="24"/>
                <w:lang w:val="en-GB"/>
              </w:rPr>
              <w:t>, 1977 and 1980</w:t>
            </w:r>
            <w:r w:rsidRPr="00C63EC0">
              <w:rPr>
                <w:rFonts w:ascii="Times New Roman" w:hAnsi="Times New Roman" w:cs="Times New Roman"/>
                <w:sz w:val="24"/>
                <w:szCs w:val="24"/>
                <w:lang w:val="en-GB"/>
              </w:rPr>
              <w:t>; ‘Econo</w:t>
            </w:r>
            <w:r>
              <w:rPr>
                <w:rFonts w:ascii="Times New Roman" w:hAnsi="Times New Roman" w:cs="Times New Roman"/>
                <w:sz w:val="24"/>
                <w:szCs w:val="24"/>
                <w:lang w:val="en-GB"/>
              </w:rPr>
              <w:t xml:space="preserve">mic Report on Costa Rica’, 1974; </w:t>
            </w:r>
            <w:r w:rsidRPr="004B5ED7">
              <w:rPr>
                <w:rFonts w:ascii="Times New Roman" w:hAnsi="Times New Roman" w:cs="Times New Roman"/>
                <w:sz w:val="24"/>
                <w:szCs w:val="24"/>
                <w:lang w:val="en-GB"/>
              </w:rPr>
              <w:t>Fernando Herrer</w:t>
            </w:r>
            <w:r>
              <w:rPr>
                <w:rFonts w:ascii="Times New Roman" w:hAnsi="Times New Roman" w:cs="Times New Roman"/>
                <w:sz w:val="24"/>
                <w:szCs w:val="24"/>
                <w:lang w:val="en-GB"/>
              </w:rPr>
              <w:t xml:space="preserve">o Acosta, </w:t>
            </w:r>
            <w:r w:rsidRPr="004B5ED7">
              <w:rPr>
                <w:rFonts w:ascii="Times New Roman" w:hAnsi="Times New Roman" w:cs="Times New Roman"/>
                <w:i/>
                <w:sz w:val="24"/>
                <w:szCs w:val="24"/>
                <w:lang w:val="en-GB"/>
              </w:rPr>
              <w:t xml:space="preserve">El </w:t>
            </w:r>
            <w:proofErr w:type="spellStart"/>
            <w:r w:rsidRPr="004B5ED7">
              <w:rPr>
                <w:rFonts w:ascii="Times New Roman" w:hAnsi="Times New Roman" w:cs="Times New Roman"/>
                <w:i/>
                <w:sz w:val="24"/>
                <w:szCs w:val="24"/>
                <w:lang w:val="en-GB"/>
              </w:rPr>
              <w:t>sistema</w:t>
            </w:r>
            <w:proofErr w:type="spellEnd"/>
            <w:r w:rsidRPr="004B5ED7">
              <w:rPr>
                <w:rFonts w:ascii="Times New Roman" w:hAnsi="Times New Roman" w:cs="Times New Roman"/>
                <w:i/>
                <w:sz w:val="24"/>
                <w:szCs w:val="24"/>
                <w:lang w:val="en-GB"/>
              </w:rPr>
              <w:t xml:space="preserve"> </w:t>
            </w:r>
            <w:proofErr w:type="spellStart"/>
            <w:r w:rsidRPr="004B5ED7">
              <w:rPr>
                <w:rFonts w:ascii="Times New Roman" w:hAnsi="Times New Roman" w:cs="Times New Roman"/>
                <w:i/>
                <w:sz w:val="24"/>
                <w:szCs w:val="24"/>
                <w:lang w:val="en-GB"/>
              </w:rPr>
              <w:t>tributario</w:t>
            </w:r>
            <w:proofErr w:type="spellEnd"/>
            <w:r w:rsidRPr="004B5ED7">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costarricense</w:t>
            </w:r>
            <w:proofErr w:type="spellEnd"/>
            <w:r>
              <w:rPr>
                <w:rFonts w:ascii="Times New Roman" w:hAnsi="Times New Roman" w:cs="Times New Roman"/>
                <w:sz w:val="24"/>
                <w:szCs w:val="24"/>
                <w:lang w:val="en-GB"/>
              </w:rPr>
              <w:t xml:space="preserve"> (</w:t>
            </w:r>
            <w:r w:rsidRPr="004B5ED7">
              <w:rPr>
                <w:rFonts w:ascii="Times New Roman" w:hAnsi="Times New Roman" w:cs="Times New Roman"/>
                <w:sz w:val="24"/>
                <w:szCs w:val="24"/>
                <w:lang w:val="en-GB"/>
              </w:rPr>
              <w:t xml:space="preserve">San Jose: </w:t>
            </w:r>
            <w:proofErr w:type="spellStart"/>
            <w:r w:rsidRPr="004B5ED7">
              <w:rPr>
                <w:rFonts w:ascii="Times New Roman" w:hAnsi="Times New Roman" w:cs="Times New Roman"/>
                <w:sz w:val="24"/>
                <w:szCs w:val="24"/>
                <w:lang w:val="en-GB"/>
              </w:rPr>
              <w:t>Controlaria</w:t>
            </w:r>
            <w:proofErr w:type="spellEnd"/>
            <w:r w:rsidRPr="004B5ED7">
              <w:rPr>
                <w:rFonts w:ascii="Times New Roman" w:hAnsi="Times New Roman" w:cs="Times New Roman"/>
                <w:sz w:val="24"/>
                <w:szCs w:val="24"/>
                <w:lang w:val="en-GB"/>
              </w:rPr>
              <w:t xml:space="preserve"> Gene</w:t>
            </w:r>
            <w:r>
              <w:rPr>
                <w:rFonts w:ascii="Times New Roman" w:hAnsi="Times New Roman" w:cs="Times New Roman"/>
                <w:sz w:val="24"/>
                <w:szCs w:val="24"/>
                <w:lang w:val="en-GB"/>
              </w:rPr>
              <w:t xml:space="preserve">ral de la </w:t>
            </w:r>
            <w:proofErr w:type="spellStart"/>
            <w:r>
              <w:rPr>
                <w:rFonts w:ascii="Times New Roman" w:hAnsi="Times New Roman" w:cs="Times New Roman"/>
                <w:sz w:val="24"/>
                <w:szCs w:val="24"/>
                <w:lang w:val="en-GB"/>
              </w:rPr>
              <w:t>Republica</w:t>
            </w:r>
            <w:proofErr w:type="spellEnd"/>
            <w:r>
              <w:rPr>
                <w:rFonts w:ascii="Times New Roman" w:hAnsi="Times New Roman" w:cs="Times New Roman"/>
                <w:sz w:val="24"/>
                <w:szCs w:val="24"/>
                <w:lang w:val="en-GB"/>
              </w:rPr>
              <w:t>, 2002).</w:t>
            </w:r>
          </w:p>
          <w:p w:rsidR="00C46EB0" w:rsidRPr="00C63EC0" w:rsidRDefault="00C46EB0" w:rsidP="00C46EB0">
            <w:pPr>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Mexico: </w:t>
            </w:r>
            <w:r w:rsidRPr="00C63EC0">
              <w:rPr>
                <w:rFonts w:ascii="Times New Roman" w:hAnsi="Times New Roman" w:cs="Times New Roman"/>
                <w:sz w:val="24"/>
                <w:szCs w:val="24"/>
              </w:rPr>
              <w:t>Alberto Diaz-</w:t>
            </w:r>
            <w:proofErr w:type="spellStart"/>
            <w:r w:rsidRPr="00C63EC0">
              <w:rPr>
                <w:rFonts w:ascii="Times New Roman" w:hAnsi="Times New Roman" w:cs="Times New Roman"/>
                <w:sz w:val="24"/>
                <w:szCs w:val="24"/>
              </w:rPr>
              <w:t>Cayeros</w:t>
            </w:r>
            <w:proofErr w:type="spellEnd"/>
            <w:r w:rsidRPr="00C63EC0">
              <w:rPr>
                <w:rFonts w:ascii="Times New Roman" w:hAnsi="Times New Roman" w:cs="Times New Roman"/>
                <w:sz w:val="24"/>
                <w:szCs w:val="24"/>
              </w:rPr>
              <w:t xml:space="preserve">, </w:t>
            </w:r>
            <w:r w:rsidRPr="00C63EC0">
              <w:rPr>
                <w:rFonts w:ascii="Times New Roman" w:hAnsi="Times New Roman" w:cs="Times New Roman"/>
                <w:i/>
                <w:sz w:val="24"/>
                <w:szCs w:val="24"/>
              </w:rPr>
              <w:t>Federalism, Fiscal Authority, and Centralization in Latin America</w:t>
            </w:r>
            <w:r w:rsidRPr="00C63EC0">
              <w:rPr>
                <w:rFonts w:ascii="Times New Roman" w:hAnsi="Times New Roman" w:cs="Times New Roman"/>
                <w:sz w:val="24"/>
                <w:szCs w:val="24"/>
              </w:rPr>
              <w:t xml:space="preserve"> (New York: Cambridge University Press, 2006).</w:t>
            </w:r>
          </w:p>
          <w:p w:rsidR="00C46EB0" w:rsidRPr="00C63EC0" w:rsidRDefault="00C46EB0" w:rsidP="00C46EB0">
            <w:pPr>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Peru: </w:t>
            </w:r>
            <w:r>
              <w:rPr>
                <w:rFonts w:ascii="Times New Roman" w:hAnsi="Times New Roman" w:cs="Times New Roman"/>
                <w:sz w:val="24"/>
                <w:szCs w:val="24"/>
                <w:lang w:val="en-GB"/>
              </w:rPr>
              <w:t xml:space="preserve">ECLAC; </w:t>
            </w:r>
            <w:r w:rsidRPr="00C63EC0">
              <w:rPr>
                <w:rFonts w:ascii="Times New Roman" w:hAnsi="Times New Roman" w:cs="Times New Roman"/>
                <w:sz w:val="24"/>
                <w:szCs w:val="24"/>
                <w:lang w:val="en-GB"/>
              </w:rPr>
              <w:t>World Bank, ‘Current Economic Position and Prospects of Peru’, 195</w:t>
            </w:r>
            <w:r>
              <w:rPr>
                <w:rFonts w:ascii="Times New Roman" w:hAnsi="Times New Roman" w:cs="Times New Roman"/>
                <w:sz w:val="24"/>
                <w:szCs w:val="24"/>
                <w:lang w:val="en-GB"/>
              </w:rPr>
              <w:t>7 and 1965</w:t>
            </w:r>
            <w:r w:rsidRPr="00C63EC0">
              <w:rPr>
                <w:rFonts w:ascii="Times New Roman" w:hAnsi="Times New Roman" w:cs="Times New Roman"/>
                <w:sz w:val="24"/>
                <w:szCs w:val="24"/>
                <w:lang w:val="en-GB"/>
              </w:rPr>
              <w:t>; ‘An Appraisal of the 1966-1967 Public Investment Program Of Peru’, 1965; ‘Peru: Long-Term Development Issues’, 1979; and ‘Peru: Major Development Policy Issues and Recommendations’,</w:t>
            </w:r>
            <w:r>
              <w:rPr>
                <w:rFonts w:ascii="Times New Roman" w:hAnsi="Times New Roman" w:cs="Times New Roman"/>
                <w:sz w:val="24"/>
                <w:szCs w:val="24"/>
                <w:lang w:val="en-GB"/>
              </w:rPr>
              <w:t xml:space="preserve"> </w:t>
            </w:r>
            <w:r w:rsidRPr="00C63EC0">
              <w:rPr>
                <w:rFonts w:ascii="Times New Roman" w:hAnsi="Times New Roman" w:cs="Times New Roman"/>
                <w:sz w:val="24"/>
                <w:szCs w:val="24"/>
                <w:lang w:val="en-GB"/>
              </w:rPr>
              <w:t>1981.</w:t>
            </w:r>
          </w:p>
          <w:p w:rsidR="00C46EB0" w:rsidRPr="009A6CE0" w:rsidRDefault="00C46EB0" w:rsidP="00C46EB0">
            <w:pPr>
              <w:rPr>
                <w:rFonts w:ascii="Times New Roman" w:hAnsi="Times New Roman" w:cs="Times New Roman"/>
                <w:sz w:val="24"/>
                <w:szCs w:val="24"/>
                <w:lang w:val="es-CL"/>
              </w:rPr>
            </w:pPr>
            <w:r w:rsidRPr="009A6CE0">
              <w:rPr>
                <w:rFonts w:ascii="Times New Roman" w:hAnsi="Times New Roman" w:cs="Times New Roman"/>
                <w:sz w:val="24"/>
                <w:szCs w:val="24"/>
                <w:lang w:val="es-CL"/>
              </w:rPr>
              <w:t xml:space="preserve">Uruguay: Ulises García </w:t>
            </w:r>
            <w:proofErr w:type="spellStart"/>
            <w:r w:rsidRPr="009A6CE0">
              <w:rPr>
                <w:rFonts w:ascii="Times New Roman" w:hAnsi="Times New Roman" w:cs="Times New Roman"/>
                <w:sz w:val="24"/>
                <w:szCs w:val="24"/>
                <w:lang w:val="es-CL"/>
              </w:rPr>
              <w:t>Rep</w:t>
            </w:r>
            <w:r>
              <w:rPr>
                <w:rFonts w:ascii="Times New Roman" w:hAnsi="Times New Roman" w:cs="Times New Roman"/>
                <w:sz w:val="24"/>
                <w:szCs w:val="24"/>
                <w:lang w:val="es-CL"/>
              </w:rPr>
              <w:t>p</w:t>
            </w:r>
            <w:r w:rsidRPr="009A6CE0">
              <w:rPr>
                <w:rFonts w:ascii="Times New Roman" w:hAnsi="Times New Roman" w:cs="Times New Roman"/>
                <w:sz w:val="24"/>
                <w:szCs w:val="24"/>
                <w:lang w:val="es-CL"/>
              </w:rPr>
              <w:t>etto</w:t>
            </w:r>
            <w:proofErr w:type="spellEnd"/>
            <w:r>
              <w:rPr>
                <w:rFonts w:ascii="Times New Roman" w:hAnsi="Times New Roman" w:cs="Times New Roman"/>
                <w:sz w:val="24"/>
                <w:szCs w:val="24"/>
                <w:lang w:val="es-CL"/>
              </w:rPr>
              <w:t>,</w:t>
            </w:r>
            <w:r w:rsidRPr="009A6CE0">
              <w:rPr>
                <w:rFonts w:ascii="Times New Roman" w:hAnsi="Times New Roman" w:cs="Times New Roman"/>
                <w:sz w:val="24"/>
                <w:szCs w:val="24"/>
                <w:lang w:val="es-CL"/>
              </w:rPr>
              <w:t xml:space="preserve"> Universidad de la República</w:t>
            </w:r>
            <w:r>
              <w:rPr>
                <w:rFonts w:ascii="Times New Roman" w:hAnsi="Times New Roman" w:cs="Times New Roman"/>
                <w:sz w:val="24"/>
                <w:szCs w:val="24"/>
                <w:lang w:val="es-CL"/>
              </w:rPr>
              <w:t xml:space="preserve">, personal </w:t>
            </w:r>
            <w:proofErr w:type="spellStart"/>
            <w:r>
              <w:rPr>
                <w:rFonts w:ascii="Times New Roman" w:hAnsi="Times New Roman" w:cs="Times New Roman"/>
                <w:sz w:val="24"/>
                <w:szCs w:val="24"/>
                <w:lang w:val="es-CL"/>
              </w:rPr>
              <w:t>communication</w:t>
            </w:r>
            <w:proofErr w:type="spellEnd"/>
            <w:r w:rsidRPr="009A6CE0">
              <w:rPr>
                <w:rFonts w:ascii="Times New Roman" w:hAnsi="Times New Roman" w:cs="Times New Roman"/>
                <w:sz w:val="24"/>
                <w:szCs w:val="24"/>
                <w:lang w:val="es-CL"/>
              </w:rPr>
              <w:t>.</w:t>
            </w:r>
          </w:p>
          <w:p w:rsidR="00C46EB0" w:rsidRPr="00C63EC0" w:rsidRDefault="00C46EB0" w:rsidP="00C46EB0">
            <w:pPr>
              <w:rPr>
                <w:rFonts w:ascii="Times New Roman" w:hAnsi="Times New Roman" w:cs="Times New Roman"/>
                <w:sz w:val="24"/>
                <w:szCs w:val="24"/>
                <w:lang w:val="en-GB"/>
              </w:rPr>
            </w:pPr>
            <w:r w:rsidRPr="00C63EC0">
              <w:rPr>
                <w:rFonts w:ascii="Times New Roman" w:hAnsi="Times New Roman" w:cs="Times New Roman"/>
                <w:sz w:val="24"/>
                <w:szCs w:val="24"/>
                <w:lang w:val="en-GB"/>
              </w:rPr>
              <w:t xml:space="preserve">Venezuela: World Bank. ‘Economic Position and Prospects of Venezuela’, 1961; ‘Recent Economic Developments in Venezuela’, 1965; ‘Memorandum on Recent Economic Developments of </w:t>
            </w:r>
            <w:r>
              <w:rPr>
                <w:rFonts w:ascii="Times New Roman" w:hAnsi="Times New Roman" w:cs="Times New Roman"/>
                <w:sz w:val="24"/>
                <w:szCs w:val="24"/>
                <w:lang w:val="en-GB"/>
              </w:rPr>
              <w:t>Venezuela’, 1972;</w:t>
            </w:r>
            <w:r w:rsidRPr="00C63EC0">
              <w:rPr>
                <w:rFonts w:ascii="Times New Roman" w:hAnsi="Times New Roman" w:cs="Times New Roman"/>
                <w:sz w:val="24"/>
                <w:szCs w:val="24"/>
                <w:lang w:val="en-GB"/>
              </w:rPr>
              <w:t xml:space="preserve"> ‘Economic</w:t>
            </w:r>
            <w:r>
              <w:rPr>
                <w:rFonts w:ascii="Times New Roman" w:hAnsi="Times New Roman" w:cs="Times New Roman"/>
                <w:sz w:val="24"/>
                <w:szCs w:val="24"/>
                <w:lang w:val="en-GB"/>
              </w:rPr>
              <w:t xml:space="preserve"> Memorandum on Venezuela’, 1985; and ‘</w:t>
            </w:r>
            <w:r w:rsidRPr="000420D8">
              <w:rPr>
                <w:rFonts w:ascii="Times New Roman" w:hAnsi="Times New Roman" w:cs="Times New Roman"/>
                <w:sz w:val="24"/>
                <w:szCs w:val="24"/>
                <w:lang w:val="en-GB"/>
              </w:rPr>
              <w:t>Venezuela: Dece</w:t>
            </w:r>
            <w:r>
              <w:rPr>
                <w:rFonts w:ascii="Times New Roman" w:hAnsi="Times New Roman" w:cs="Times New Roman"/>
                <w:sz w:val="24"/>
                <w:szCs w:val="24"/>
                <w:lang w:val="en-GB"/>
              </w:rPr>
              <w:t>ntralization and Fiscal Issues,’</w:t>
            </w:r>
            <w:r w:rsidRPr="000420D8">
              <w:rPr>
                <w:rFonts w:ascii="Times New Roman" w:hAnsi="Times New Roman" w:cs="Times New Roman"/>
                <w:sz w:val="24"/>
                <w:szCs w:val="24"/>
                <w:lang w:val="en-GB"/>
              </w:rPr>
              <w:t xml:space="preserve"> 1992</w:t>
            </w:r>
            <w:r>
              <w:rPr>
                <w:rFonts w:ascii="Times New Roman" w:hAnsi="Times New Roman" w:cs="Times New Roman"/>
                <w:sz w:val="24"/>
                <w:szCs w:val="24"/>
                <w:lang w:val="en-GB"/>
              </w:rPr>
              <w:t>.</w:t>
            </w:r>
          </w:p>
        </w:tc>
      </w:tr>
    </w:tbl>
    <w:p w:rsidR="00C46EB0" w:rsidRPr="00C46EB0" w:rsidRDefault="00C46EB0" w:rsidP="009E6B31">
      <w:pPr>
        <w:spacing w:after="0" w:line="480" w:lineRule="auto"/>
        <w:jc w:val="center"/>
        <w:rPr>
          <w:rFonts w:ascii="Times New Roman" w:hAnsi="Times New Roman" w:cs="Times New Roman"/>
          <w:sz w:val="24"/>
          <w:szCs w:val="24"/>
        </w:rPr>
      </w:pPr>
    </w:p>
    <w:p w:rsidR="00C46EB0" w:rsidRDefault="00C46EB0" w:rsidP="00C46EB0">
      <w:pPr>
        <w:jc w:val="center"/>
      </w:pPr>
      <w:r w:rsidRPr="00B37E55">
        <w:rPr>
          <w:noProof/>
          <w:sz w:val="24"/>
          <w:szCs w:val="24"/>
        </w:rPr>
        <w:drawing>
          <wp:inline distT="0" distB="0" distL="0" distR="0" wp14:anchorId="4F52B904" wp14:editId="3390A18D">
            <wp:extent cx="5943600" cy="37642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EB0" w:rsidRPr="001F010D" w:rsidRDefault="00C46EB0" w:rsidP="00C46EB0">
      <w:pPr>
        <w:jc w:val="center"/>
        <w:rPr>
          <w:rFonts w:ascii="Times New Roman" w:hAnsi="Times New Roman" w:cs="Times New Roman"/>
          <w:sz w:val="24"/>
          <w:szCs w:val="24"/>
        </w:rPr>
      </w:pPr>
      <w:r w:rsidRPr="001F010D">
        <w:rPr>
          <w:rFonts w:ascii="Times New Roman" w:hAnsi="Times New Roman" w:cs="Times New Roman"/>
          <w:i/>
          <w:sz w:val="24"/>
          <w:szCs w:val="24"/>
        </w:rPr>
        <w:t>Sources:</w:t>
      </w:r>
      <w:r>
        <w:rPr>
          <w:rFonts w:ascii="Times New Roman" w:hAnsi="Times New Roman" w:cs="Times New Roman"/>
          <w:sz w:val="24"/>
          <w:szCs w:val="24"/>
        </w:rPr>
        <w:t xml:space="preserve"> S</w:t>
      </w:r>
      <w:r w:rsidRPr="001F010D">
        <w:rPr>
          <w:rFonts w:ascii="Times New Roman" w:hAnsi="Times New Roman" w:cs="Times New Roman"/>
          <w:sz w:val="24"/>
          <w:szCs w:val="24"/>
        </w:rPr>
        <w:t>ee Table 2</w:t>
      </w:r>
    </w:p>
    <w:p w:rsidR="00C46EB0" w:rsidRPr="00D9330B" w:rsidRDefault="00C46EB0" w:rsidP="009E6B31">
      <w:pPr>
        <w:spacing w:after="0" w:line="480" w:lineRule="auto"/>
        <w:jc w:val="center"/>
        <w:rPr>
          <w:rFonts w:ascii="Times New Roman" w:hAnsi="Times New Roman" w:cs="Times New Roman"/>
          <w:sz w:val="24"/>
          <w:szCs w:val="24"/>
          <w:lang w:val="en-GB"/>
        </w:rPr>
      </w:pPr>
    </w:p>
    <w:p w:rsidR="003E0D78" w:rsidRPr="00D9330B" w:rsidRDefault="0009479A" w:rsidP="003E0D78">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Brazil’s contemporary tax structure, or the relative contribution of di</w:t>
      </w:r>
      <w:r w:rsidR="003E0D78" w:rsidRPr="00D9330B">
        <w:rPr>
          <w:rFonts w:ascii="Times New Roman" w:hAnsi="Times New Roman" w:cs="Times New Roman"/>
          <w:sz w:val="24"/>
          <w:szCs w:val="24"/>
          <w:lang w:val="en-GB"/>
        </w:rPr>
        <w:t xml:space="preserve">fferent broad </w:t>
      </w:r>
      <w:proofErr w:type="gramStart"/>
      <w:r w:rsidR="003E0D78" w:rsidRPr="00D9330B">
        <w:rPr>
          <w:rFonts w:ascii="Times New Roman" w:hAnsi="Times New Roman" w:cs="Times New Roman"/>
          <w:sz w:val="24"/>
          <w:szCs w:val="24"/>
          <w:lang w:val="en-GB"/>
        </w:rPr>
        <w:t>categories</w:t>
      </w:r>
      <w:proofErr w:type="gramEnd"/>
      <w:r w:rsidR="003E0D78" w:rsidRPr="00D9330B">
        <w:rPr>
          <w:rFonts w:ascii="Times New Roman" w:hAnsi="Times New Roman" w:cs="Times New Roman"/>
          <w:sz w:val="24"/>
          <w:szCs w:val="24"/>
          <w:lang w:val="en-GB"/>
        </w:rPr>
        <w:t xml:space="preserve"> of taxes, is not particularly exceptional (Table 3)</w:t>
      </w:r>
      <w:r w:rsidRPr="00D9330B">
        <w:rPr>
          <w:rFonts w:ascii="Times New Roman" w:hAnsi="Times New Roman" w:cs="Times New Roman"/>
          <w:sz w:val="24"/>
          <w:szCs w:val="24"/>
          <w:lang w:val="en-GB"/>
        </w:rPr>
        <w:t>.</w:t>
      </w:r>
      <w:r w:rsidR="003E0D78" w:rsidRPr="00D9330B">
        <w:rPr>
          <w:rFonts w:ascii="Times New Roman" w:hAnsi="Times New Roman" w:cs="Times New Roman"/>
          <w:sz w:val="24"/>
          <w:szCs w:val="24"/>
          <w:lang w:val="en-GB"/>
        </w:rPr>
        <w:t xml:space="preserve"> </w:t>
      </w:r>
      <w:r w:rsidR="000C025F" w:rsidRPr="00D9330B">
        <w:rPr>
          <w:rFonts w:ascii="Times New Roman" w:hAnsi="Times New Roman" w:cs="Times New Roman"/>
          <w:sz w:val="24"/>
          <w:szCs w:val="24"/>
          <w:lang w:val="en-GB"/>
        </w:rPr>
        <w:t xml:space="preserve">As in most other countries in the </w:t>
      </w:r>
      <w:r w:rsidR="000C025F" w:rsidRPr="00D9330B">
        <w:rPr>
          <w:rFonts w:ascii="Times New Roman" w:hAnsi="Times New Roman" w:cs="Times New Roman"/>
          <w:sz w:val="24"/>
          <w:szCs w:val="24"/>
          <w:lang w:val="en-GB"/>
        </w:rPr>
        <w:lastRenderedPageBreak/>
        <w:t>region, t</w:t>
      </w:r>
      <w:r w:rsidR="009E6B31" w:rsidRPr="00D9330B">
        <w:rPr>
          <w:rFonts w:ascii="Times New Roman" w:hAnsi="Times New Roman" w:cs="Times New Roman"/>
          <w:sz w:val="24"/>
          <w:szCs w:val="24"/>
          <w:lang w:val="en-GB"/>
        </w:rPr>
        <w:t>axes on production and consump</w:t>
      </w:r>
      <w:r w:rsidR="003E0D78" w:rsidRPr="00D9330B">
        <w:rPr>
          <w:rFonts w:ascii="Times New Roman" w:hAnsi="Times New Roman" w:cs="Times New Roman"/>
          <w:sz w:val="24"/>
          <w:szCs w:val="24"/>
          <w:lang w:val="en-GB"/>
        </w:rPr>
        <w:t>tion (i.e., indirect taxes) contribute</w:t>
      </w:r>
      <w:r w:rsidR="009E6B31" w:rsidRPr="00D9330B">
        <w:rPr>
          <w:rFonts w:ascii="Times New Roman" w:hAnsi="Times New Roman" w:cs="Times New Roman"/>
          <w:sz w:val="24"/>
          <w:szCs w:val="24"/>
          <w:lang w:val="en-GB"/>
        </w:rPr>
        <w:t xml:space="preserve"> easily the largest share, followed by</w:t>
      </w:r>
      <w:r w:rsidR="003E0D78" w:rsidRPr="00D9330B">
        <w:rPr>
          <w:rFonts w:ascii="Times New Roman" w:hAnsi="Times New Roman" w:cs="Times New Roman"/>
          <w:sz w:val="24"/>
          <w:szCs w:val="24"/>
          <w:lang w:val="en-GB"/>
        </w:rPr>
        <w:t xml:space="preserve"> more progressive</w:t>
      </w:r>
      <w:r w:rsidR="009E6B31" w:rsidRPr="00D9330B">
        <w:rPr>
          <w:rFonts w:ascii="Times New Roman" w:hAnsi="Times New Roman" w:cs="Times New Roman"/>
          <w:sz w:val="24"/>
          <w:szCs w:val="24"/>
          <w:lang w:val="en-GB"/>
        </w:rPr>
        <w:t xml:space="preserve"> income and property (i.e., direct) taxes and social security contributions</w:t>
      </w:r>
      <w:r w:rsidR="003E0D78" w:rsidRPr="00D9330B">
        <w:rPr>
          <w:rFonts w:ascii="Times New Roman" w:hAnsi="Times New Roman" w:cs="Times New Roman"/>
          <w:sz w:val="24"/>
          <w:szCs w:val="24"/>
          <w:lang w:val="en-GB"/>
        </w:rPr>
        <w:t xml:space="preserve">. Brazil stands out mainly in terms of the weight of its social security contributions, which is well above the regional average. </w:t>
      </w:r>
      <w:r w:rsidR="0040211C" w:rsidRPr="00D9330B">
        <w:rPr>
          <w:rFonts w:ascii="Times New Roman" w:hAnsi="Times New Roman" w:cs="Times New Roman"/>
          <w:sz w:val="24"/>
          <w:szCs w:val="24"/>
          <w:lang w:val="en-GB"/>
        </w:rPr>
        <w:t>Among the Southern Cone countries, Ar</w:t>
      </w:r>
      <w:r w:rsidR="005437AD" w:rsidRPr="00D9330B">
        <w:rPr>
          <w:rFonts w:ascii="Times New Roman" w:hAnsi="Times New Roman" w:cs="Times New Roman"/>
          <w:sz w:val="24"/>
          <w:szCs w:val="24"/>
          <w:lang w:val="en-GB"/>
        </w:rPr>
        <w:t>gentina and Uruguay have tax</w:t>
      </w:r>
      <w:r w:rsidR="0040211C" w:rsidRPr="00D9330B">
        <w:rPr>
          <w:rFonts w:ascii="Times New Roman" w:hAnsi="Times New Roman" w:cs="Times New Roman"/>
          <w:sz w:val="24"/>
          <w:szCs w:val="24"/>
          <w:lang w:val="en-GB"/>
        </w:rPr>
        <w:t xml:space="preserve"> structure</w:t>
      </w:r>
      <w:r w:rsidR="005437AD" w:rsidRPr="00D9330B">
        <w:rPr>
          <w:rFonts w:ascii="Times New Roman" w:hAnsi="Times New Roman" w:cs="Times New Roman"/>
          <w:sz w:val="24"/>
          <w:szCs w:val="24"/>
          <w:lang w:val="en-GB"/>
        </w:rPr>
        <w:t>s</w:t>
      </w:r>
      <w:r w:rsidR="0040211C" w:rsidRPr="00D9330B">
        <w:rPr>
          <w:rFonts w:ascii="Times New Roman" w:hAnsi="Times New Roman" w:cs="Times New Roman"/>
          <w:sz w:val="24"/>
          <w:szCs w:val="24"/>
          <w:lang w:val="en-GB"/>
        </w:rPr>
        <w:t xml:space="preserve"> similar to Brazil’s, while Chile differs </w:t>
      </w:r>
      <w:r w:rsidR="00C83F46" w:rsidRPr="00D9330B">
        <w:rPr>
          <w:rFonts w:ascii="Times New Roman" w:hAnsi="Times New Roman" w:cs="Times New Roman"/>
          <w:sz w:val="24"/>
          <w:szCs w:val="24"/>
          <w:lang w:val="en-GB"/>
        </w:rPr>
        <w:t xml:space="preserve">more </w:t>
      </w:r>
      <w:r w:rsidR="0040211C" w:rsidRPr="00D9330B">
        <w:rPr>
          <w:rFonts w:ascii="Times New Roman" w:hAnsi="Times New Roman" w:cs="Times New Roman"/>
          <w:sz w:val="24"/>
          <w:szCs w:val="24"/>
          <w:lang w:val="en-GB"/>
        </w:rPr>
        <w:t>substan</w:t>
      </w:r>
      <w:r w:rsidR="009C5D39" w:rsidRPr="00D9330B">
        <w:rPr>
          <w:rFonts w:ascii="Times New Roman" w:hAnsi="Times New Roman" w:cs="Times New Roman"/>
          <w:sz w:val="24"/>
          <w:szCs w:val="24"/>
          <w:lang w:val="en-GB"/>
        </w:rPr>
        <w:t>tially in that social security contributes</w:t>
      </w:r>
      <w:r w:rsidR="00C83F46" w:rsidRPr="00D9330B">
        <w:rPr>
          <w:rFonts w:ascii="Times New Roman" w:hAnsi="Times New Roman" w:cs="Times New Roman"/>
          <w:sz w:val="24"/>
          <w:szCs w:val="24"/>
          <w:lang w:val="en-GB"/>
        </w:rPr>
        <w:t xml:space="preserve"> </w:t>
      </w:r>
      <w:r w:rsidR="00A4288B" w:rsidRPr="00D9330B">
        <w:rPr>
          <w:rFonts w:ascii="Times New Roman" w:hAnsi="Times New Roman" w:cs="Times New Roman"/>
          <w:sz w:val="24"/>
          <w:szCs w:val="24"/>
          <w:lang w:val="en-GB"/>
        </w:rPr>
        <w:t xml:space="preserve">only </w:t>
      </w:r>
      <w:r w:rsidR="004519B7" w:rsidRPr="00D9330B">
        <w:rPr>
          <w:rFonts w:ascii="Times New Roman" w:hAnsi="Times New Roman" w:cs="Times New Roman"/>
          <w:sz w:val="24"/>
          <w:szCs w:val="24"/>
          <w:lang w:val="en-GB"/>
        </w:rPr>
        <w:t>a</w:t>
      </w:r>
      <w:r w:rsidR="00BA78D1" w:rsidRPr="00D9330B">
        <w:rPr>
          <w:rFonts w:ascii="Times New Roman" w:hAnsi="Times New Roman" w:cs="Times New Roman"/>
          <w:sz w:val="24"/>
          <w:szCs w:val="24"/>
          <w:lang w:val="en-GB"/>
        </w:rPr>
        <w:t xml:space="preserve"> very</w:t>
      </w:r>
      <w:r w:rsidR="004519B7" w:rsidRPr="00D9330B">
        <w:rPr>
          <w:rFonts w:ascii="Times New Roman" w:hAnsi="Times New Roman" w:cs="Times New Roman"/>
          <w:sz w:val="24"/>
          <w:szCs w:val="24"/>
          <w:lang w:val="en-GB"/>
        </w:rPr>
        <w:t xml:space="preserve"> small</w:t>
      </w:r>
      <w:r w:rsidR="00BA78D1" w:rsidRPr="00D9330B">
        <w:rPr>
          <w:rFonts w:ascii="Times New Roman" w:hAnsi="Times New Roman" w:cs="Times New Roman"/>
          <w:sz w:val="24"/>
          <w:szCs w:val="24"/>
          <w:lang w:val="en-GB"/>
        </w:rPr>
        <w:t xml:space="preserve"> share of revenues</w:t>
      </w:r>
      <w:r w:rsidR="0040211C" w:rsidRPr="00D9330B">
        <w:rPr>
          <w:rFonts w:ascii="Times New Roman" w:hAnsi="Times New Roman" w:cs="Times New Roman"/>
          <w:sz w:val="24"/>
          <w:szCs w:val="24"/>
          <w:lang w:val="en-GB"/>
        </w:rPr>
        <w:t>.</w:t>
      </w:r>
      <w:r w:rsidR="00C83F46" w:rsidRPr="00D9330B">
        <w:rPr>
          <w:rFonts w:ascii="Times New Roman" w:hAnsi="Times New Roman" w:cs="Times New Roman"/>
          <w:sz w:val="24"/>
          <w:szCs w:val="24"/>
          <w:lang w:val="en-GB"/>
        </w:rPr>
        <w:t xml:space="preserve"> </w:t>
      </w:r>
    </w:p>
    <w:p w:rsidR="009E6B31" w:rsidRPr="00D9330B" w:rsidRDefault="003E0D78" w:rsidP="003E0D78">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 xml:space="preserve">In contrast, </w:t>
      </w:r>
      <w:r w:rsidR="00546E3F" w:rsidRPr="00D9330B">
        <w:rPr>
          <w:rFonts w:ascii="Times New Roman" w:hAnsi="Times New Roman" w:cs="Times New Roman"/>
          <w:sz w:val="24"/>
          <w:szCs w:val="24"/>
          <w:lang w:val="en-GB"/>
        </w:rPr>
        <w:t>Brazil is quite unusual</w:t>
      </w:r>
      <w:r w:rsidR="009E6B31" w:rsidRPr="00D9330B">
        <w:rPr>
          <w:rFonts w:ascii="Times New Roman" w:hAnsi="Times New Roman" w:cs="Times New Roman"/>
          <w:sz w:val="24"/>
          <w:szCs w:val="24"/>
          <w:lang w:val="en-GB"/>
        </w:rPr>
        <w:t xml:space="preserve"> in terms of how the burden is distributed among different levels of government. Subnational governments generate 30 per cent of tax revenues. </w:t>
      </w:r>
      <w:r w:rsidR="004519B7" w:rsidRPr="00D9330B">
        <w:rPr>
          <w:rFonts w:ascii="Times New Roman" w:hAnsi="Times New Roman" w:cs="Times New Roman"/>
          <w:sz w:val="24"/>
          <w:szCs w:val="24"/>
          <w:lang w:val="en-GB"/>
        </w:rPr>
        <w:t>Argentina, where</w:t>
      </w:r>
      <w:r w:rsidR="00384DF2" w:rsidRPr="00D9330B">
        <w:rPr>
          <w:rFonts w:ascii="Times New Roman" w:hAnsi="Times New Roman" w:cs="Times New Roman"/>
          <w:sz w:val="24"/>
          <w:szCs w:val="24"/>
          <w:lang w:val="en-GB"/>
        </w:rPr>
        <w:t xml:space="preserve"> the subna</w:t>
      </w:r>
      <w:r w:rsidR="00BA78D1" w:rsidRPr="00D9330B">
        <w:rPr>
          <w:rFonts w:ascii="Times New Roman" w:hAnsi="Times New Roman" w:cs="Times New Roman"/>
          <w:sz w:val="24"/>
          <w:szCs w:val="24"/>
          <w:lang w:val="en-GB"/>
        </w:rPr>
        <w:t>tional contribution is half that amount</w:t>
      </w:r>
      <w:r w:rsidR="006D7AC2" w:rsidRPr="00D9330B">
        <w:rPr>
          <w:rFonts w:ascii="Times New Roman" w:hAnsi="Times New Roman" w:cs="Times New Roman"/>
          <w:sz w:val="24"/>
          <w:szCs w:val="24"/>
          <w:lang w:val="en-GB"/>
        </w:rPr>
        <w:t>, is the most similar case</w:t>
      </w:r>
      <w:r w:rsidR="009E6B31" w:rsidRPr="00D9330B">
        <w:rPr>
          <w:rFonts w:ascii="Times New Roman" w:hAnsi="Times New Roman" w:cs="Times New Roman"/>
          <w:sz w:val="24"/>
          <w:szCs w:val="24"/>
          <w:lang w:val="en-GB"/>
        </w:rPr>
        <w:t>.</w:t>
      </w:r>
    </w:p>
    <w:p w:rsidR="00C46EB0" w:rsidRDefault="00C46EB0" w:rsidP="00E473FA">
      <w:pPr>
        <w:spacing w:after="0" w:line="480" w:lineRule="auto"/>
        <w:ind w:firstLine="720"/>
        <w:rPr>
          <w:rFonts w:ascii="Times New Roman" w:hAnsi="Times New Roman" w:cs="Times New Roman"/>
          <w:sz w:val="24"/>
          <w:szCs w:val="24"/>
          <w:lang w:val="en-GB"/>
        </w:rPr>
      </w:pPr>
    </w:p>
    <w:p w:rsidR="00C46EB0" w:rsidRPr="00C63EC0" w:rsidRDefault="00C46EB0" w:rsidP="00C46EB0">
      <w:pPr>
        <w:spacing w:after="0" w:line="480" w:lineRule="auto"/>
        <w:jc w:val="both"/>
        <w:rPr>
          <w:rFonts w:ascii="Times New Roman" w:hAnsi="Times New Roman" w:cs="Times New Roman"/>
          <w:sz w:val="24"/>
          <w:szCs w:val="24"/>
          <w:lang w:val="en-GB"/>
        </w:rPr>
      </w:pPr>
      <w:r w:rsidRPr="00C63EC0">
        <w:rPr>
          <w:rFonts w:ascii="Times New Roman" w:hAnsi="Times New Roman" w:cs="Times New Roman"/>
          <w:sz w:val="24"/>
          <w:szCs w:val="24"/>
          <w:lang w:val="en-GB"/>
        </w:rPr>
        <w:t>Table 3</w:t>
      </w:r>
      <w:r>
        <w:rPr>
          <w:rFonts w:ascii="Times New Roman" w:hAnsi="Times New Roman" w:cs="Times New Roman"/>
          <w:sz w:val="24"/>
          <w:szCs w:val="24"/>
          <w:lang w:val="en-GB"/>
        </w:rPr>
        <w:t>.</w:t>
      </w:r>
      <w:r w:rsidRPr="00C63EC0">
        <w:rPr>
          <w:rFonts w:ascii="Times New Roman" w:hAnsi="Times New Roman" w:cs="Times New Roman"/>
          <w:sz w:val="24"/>
          <w:szCs w:val="24"/>
          <w:lang w:val="en-GB"/>
        </w:rPr>
        <w:t xml:space="preserve"> </w:t>
      </w:r>
      <w:r w:rsidRPr="006F089F">
        <w:rPr>
          <w:rFonts w:ascii="Times New Roman" w:hAnsi="Times New Roman" w:cs="Times New Roman"/>
          <w:i/>
          <w:sz w:val="24"/>
          <w:szCs w:val="24"/>
          <w:lang w:val="en-GB"/>
        </w:rPr>
        <w:t>Latin American Tax Structures</w:t>
      </w:r>
      <w:r>
        <w:rPr>
          <w:rFonts w:ascii="Times New Roman" w:hAnsi="Times New Roman" w:cs="Times New Roman"/>
          <w:i/>
          <w:sz w:val="24"/>
          <w:szCs w:val="24"/>
          <w:lang w:val="en-GB"/>
        </w:rPr>
        <w:t>, 2009-2013 (or most recent five years)</w:t>
      </w:r>
      <w:r w:rsidRPr="00C63EC0">
        <w:rPr>
          <w:rFonts w:ascii="Times New Roman" w:hAnsi="Times New Roman" w:cs="Times New Roman"/>
          <w:i/>
          <w:sz w:val="24"/>
          <w:szCs w:val="24"/>
          <w:lang w:val="en-GB"/>
        </w:rPr>
        <w:t xml:space="preserve"> (%)</w:t>
      </w:r>
    </w:p>
    <w:tbl>
      <w:tblPr>
        <w:tblStyle w:val="TableGrid"/>
        <w:tblW w:w="0" w:type="auto"/>
        <w:tblLayout w:type="fixed"/>
        <w:tblLook w:val="04A0" w:firstRow="1" w:lastRow="0" w:firstColumn="1" w:lastColumn="0" w:noHBand="0" w:noVBand="1"/>
      </w:tblPr>
      <w:tblGrid>
        <w:gridCol w:w="1763"/>
        <w:gridCol w:w="816"/>
        <w:gridCol w:w="990"/>
        <w:gridCol w:w="1016"/>
        <w:gridCol w:w="784"/>
        <w:gridCol w:w="756"/>
        <w:gridCol w:w="1093"/>
        <w:gridCol w:w="990"/>
        <w:gridCol w:w="810"/>
      </w:tblGrid>
      <w:tr w:rsidR="00C46EB0" w:rsidRPr="005424F7" w:rsidTr="00C46EB0">
        <w:tc>
          <w:tcPr>
            <w:tcW w:w="176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Country/Region</w:t>
            </w:r>
          </w:p>
        </w:tc>
        <w:tc>
          <w:tcPr>
            <w:tcW w:w="4362" w:type="dxa"/>
            <w:gridSpan w:val="5"/>
            <w:tcBorders>
              <w:top w:val="nil"/>
              <w:left w:val="nil"/>
              <w:bottom w:val="nil"/>
              <w:right w:val="nil"/>
            </w:tcBorders>
          </w:tcPr>
          <w:p w:rsidR="00C46EB0" w:rsidRPr="005424F7" w:rsidRDefault="00C46EB0" w:rsidP="00712E3A">
            <w:pPr>
              <w:jc w:val="center"/>
              <w:rPr>
                <w:rFonts w:ascii="Times New Roman" w:hAnsi="Times New Roman" w:cs="Times New Roman"/>
                <w:sz w:val="24"/>
                <w:szCs w:val="24"/>
                <w:lang w:val="en-GB"/>
              </w:rPr>
            </w:pPr>
            <w:r>
              <w:rPr>
                <w:rFonts w:ascii="Times New Roman" w:hAnsi="Times New Roman" w:cs="Times New Roman"/>
                <w:sz w:val="24"/>
                <w:szCs w:val="24"/>
                <w:lang w:val="en-GB"/>
              </w:rPr>
              <w:t>Type of Tax</w:t>
            </w:r>
          </w:p>
        </w:tc>
        <w:tc>
          <w:tcPr>
            <w:tcW w:w="2893" w:type="dxa"/>
            <w:gridSpan w:val="3"/>
            <w:tcBorders>
              <w:top w:val="nil"/>
              <w:left w:val="nil"/>
              <w:bottom w:val="nil"/>
              <w:right w:val="nil"/>
            </w:tcBorders>
          </w:tcPr>
          <w:p w:rsidR="00C46EB0" w:rsidRDefault="00C46EB0" w:rsidP="00712E3A">
            <w:pPr>
              <w:jc w:val="center"/>
              <w:rPr>
                <w:rFonts w:ascii="Times New Roman" w:hAnsi="Times New Roman" w:cs="Times New Roman"/>
                <w:sz w:val="24"/>
                <w:szCs w:val="24"/>
                <w:lang w:val="en-GB"/>
              </w:rPr>
            </w:pPr>
            <w:r>
              <w:rPr>
                <w:rFonts w:ascii="Times New Roman" w:hAnsi="Times New Roman" w:cs="Times New Roman"/>
                <w:sz w:val="24"/>
                <w:szCs w:val="24"/>
                <w:lang w:val="en-GB"/>
              </w:rPr>
              <w:t>Level of Collection</w:t>
            </w:r>
          </w:p>
        </w:tc>
      </w:tr>
      <w:tr w:rsidR="00C46EB0" w:rsidRPr="005424F7" w:rsidTr="00C46EB0">
        <w:tc>
          <w:tcPr>
            <w:tcW w:w="176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p>
        </w:tc>
        <w:tc>
          <w:tcPr>
            <w:tcW w:w="8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Direct</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 xml:space="preserve">Indirect </w:t>
            </w:r>
          </w:p>
        </w:tc>
        <w:tc>
          <w:tcPr>
            <w:tcW w:w="1016" w:type="dxa"/>
            <w:tcBorders>
              <w:top w:val="nil"/>
              <w:left w:val="nil"/>
              <w:bottom w:val="nil"/>
              <w:right w:val="nil"/>
            </w:tcBorders>
          </w:tcPr>
          <w:p w:rsidR="00C46EB0"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 xml:space="preserve">Social </w:t>
            </w:r>
          </w:p>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Security</w:t>
            </w:r>
          </w:p>
        </w:tc>
        <w:tc>
          <w:tcPr>
            <w:tcW w:w="784"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 xml:space="preserve">Other </w:t>
            </w:r>
          </w:p>
        </w:tc>
        <w:tc>
          <w:tcPr>
            <w:tcW w:w="75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Total</w:t>
            </w:r>
          </w:p>
        </w:tc>
        <w:tc>
          <w:tcPr>
            <w:tcW w:w="109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National</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Sub-national</w:t>
            </w:r>
          </w:p>
        </w:tc>
        <w:tc>
          <w:tcPr>
            <w:tcW w:w="81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Total</w:t>
            </w:r>
          </w:p>
        </w:tc>
      </w:tr>
      <w:tr w:rsidR="00C46EB0" w:rsidRPr="005424F7" w:rsidTr="00C46EB0">
        <w:tc>
          <w:tcPr>
            <w:tcW w:w="176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Brazil</w:t>
            </w:r>
          </w:p>
        </w:tc>
        <w:tc>
          <w:tcPr>
            <w:tcW w:w="8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30.0</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44.2</w:t>
            </w:r>
          </w:p>
        </w:tc>
        <w:tc>
          <w:tcPr>
            <w:tcW w:w="10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25.4</w:t>
            </w:r>
          </w:p>
        </w:tc>
        <w:tc>
          <w:tcPr>
            <w:tcW w:w="784"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0.5</w:t>
            </w:r>
          </w:p>
        </w:tc>
        <w:tc>
          <w:tcPr>
            <w:tcW w:w="75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100.0</w:t>
            </w:r>
          </w:p>
        </w:tc>
        <w:tc>
          <w:tcPr>
            <w:tcW w:w="109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69.4</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30.6</w:t>
            </w:r>
          </w:p>
        </w:tc>
        <w:tc>
          <w:tcPr>
            <w:tcW w:w="81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100.0</w:t>
            </w:r>
          </w:p>
        </w:tc>
      </w:tr>
      <w:tr w:rsidR="00C46EB0" w:rsidRPr="005424F7" w:rsidTr="00C46EB0">
        <w:tc>
          <w:tcPr>
            <w:tcW w:w="176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Argentina</w:t>
            </w:r>
          </w:p>
        </w:tc>
        <w:tc>
          <w:tcPr>
            <w:tcW w:w="8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26.7</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50.1</w:t>
            </w:r>
          </w:p>
        </w:tc>
        <w:tc>
          <w:tcPr>
            <w:tcW w:w="10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22.1</w:t>
            </w:r>
          </w:p>
        </w:tc>
        <w:tc>
          <w:tcPr>
            <w:tcW w:w="784"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75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100.0</w:t>
            </w:r>
          </w:p>
        </w:tc>
        <w:tc>
          <w:tcPr>
            <w:tcW w:w="109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84.9</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15.1</w:t>
            </w:r>
          </w:p>
        </w:tc>
        <w:tc>
          <w:tcPr>
            <w:tcW w:w="81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100.0</w:t>
            </w:r>
          </w:p>
        </w:tc>
      </w:tr>
      <w:tr w:rsidR="00C46EB0" w:rsidRPr="005424F7" w:rsidTr="00C46EB0">
        <w:tc>
          <w:tcPr>
            <w:tcW w:w="176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Chile</w:t>
            </w:r>
          </w:p>
        </w:tc>
        <w:tc>
          <w:tcPr>
            <w:tcW w:w="8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39.4</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52.7</w:t>
            </w:r>
          </w:p>
        </w:tc>
        <w:tc>
          <w:tcPr>
            <w:tcW w:w="10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7.1</w:t>
            </w:r>
          </w:p>
        </w:tc>
        <w:tc>
          <w:tcPr>
            <w:tcW w:w="784"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0.9</w:t>
            </w:r>
          </w:p>
        </w:tc>
        <w:tc>
          <w:tcPr>
            <w:tcW w:w="75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100.0</w:t>
            </w:r>
          </w:p>
        </w:tc>
        <w:tc>
          <w:tcPr>
            <w:tcW w:w="109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93.2</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6.8</w:t>
            </w:r>
          </w:p>
        </w:tc>
        <w:tc>
          <w:tcPr>
            <w:tcW w:w="81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100.0</w:t>
            </w:r>
          </w:p>
        </w:tc>
      </w:tr>
      <w:tr w:rsidR="00C46EB0" w:rsidRPr="005424F7" w:rsidTr="00C46EB0">
        <w:tc>
          <w:tcPr>
            <w:tcW w:w="176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Uruguay</w:t>
            </w:r>
          </w:p>
        </w:tc>
        <w:tc>
          <w:tcPr>
            <w:tcW w:w="8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24.7</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49.0</w:t>
            </w:r>
          </w:p>
        </w:tc>
        <w:tc>
          <w:tcPr>
            <w:tcW w:w="10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26.3</w:t>
            </w:r>
          </w:p>
        </w:tc>
        <w:tc>
          <w:tcPr>
            <w:tcW w:w="784"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0.0</w:t>
            </w:r>
          </w:p>
        </w:tc>
        <w:tc>
          <w:tcPr>
            <w:tcW w:w="75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100.0</w:t>
            </w:r>
          </w:p>
        </w:tc>
        <w:tc>
          <w:tcPr>
            <w:tcW w:w="109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93.0</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7.0</w:t>
            </w:r>
          </w:p>
        </w:tc>
        <w:tc>
          <w:tcPr>
            <w:tcW w:w="81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100.0</w:t>
            </w:r>
          </w:p>
        </w:tc>
      </w:tr>
      <w:tr w:rsidR="00C46EB0" w:rsidRPr="005424F7" w:rsidTr="00C46EB0">
        <w:tc>
          <w:tcPr>
            <w:tcW w:w="1763" w:type="dxa"/>
            <w:tcBorders>
              <w:top w:val="nil"/>
              <w:left w:val="nil"/>
              <w:bottom w:val="nil"/>
              <w:right w:val="nil"/>
            </w:tcBorders>
          </w:tcPr>
          <w:p w:rsidR="00C46EB0" w:rsidRPr="00CB1AB2" w:rsidRDefault="00C46EB0" w:rsidP="00712E3A">
            <w:pPr>
              <w:rPr>
                <w:rFonts w:ascii="Times New Roman" w:hAnsi="Times New Roman" w:cs="Times New Roman"/>
                <w:sz w:val="24"/>
                <w:szCs w:val="24"/>
                <w:lang w:val="es-CL"/>
              </w:rPr>
            </w:pPr>
            <w:proofErr w:type="spellStart"/>
            <w:r w:rsidRPr="00CB1AB2">
              <w:rPr>
                <w:rFonts w:ascii="Times New Roman" w:hAnsi="Times New Roman" w:cs="Times New Roman"/>
                <w:sz w:val="24"/>
                <w:szCs w:val="24"/>
                <w:lang w:val="es-CL"/>
              </w:rPr>
              <w:t>Latin</w:t>
            </w:r>
            <w:proofErr w:type="spellEnd"/>
            <w:r w:rsidRPr="00CB1AB2">
              <w:rPr>
                <w:rFonts w:ascii="Times New Roman" w:hAnsi="Times New Roman" w:cs="Times New Roman"/>
                <w:sz w:val="24"/>
                <w:szCs w:val="24"/>
                <w:lang w:val="es-CL"/>
              </w:rPr>
              <w:t xml:space="preserve"> </w:t>
            </w:r>
            <w:proofErr w:type="spellStart"/>
            <w:r w:rsidRPr="00CB1AB2">
              <w:rPr>
                <w:rFonts w:ascii="Times New Roman" w:hAnsi="Times New Roman" w:cs="Times New Roman"/>
                <w:sz w:val="24"/>
                <w:szCs w:val="24"/>
                <w:lang w:val="es-CL"/>
              </w:rPr>
              <w:t>America</w:t>
            </w:r>
            <w:proofErr w:type="spellEnd"/>
            <w:r w:rsidRPr="00CB1AB2">
              <w:rPr>
                <w:rFonts w:ascii="Times New Roman" w:hAnsi="Times New Roman" w:cs="Times New Roman"/>
                <w:sz w:val="24"/>
                <w:szCs w:val="24"/>
                <w:lang w:val="es-CL"/>
              </w:rPr>
              <w:t xml:space="preserve"> </w:t>
            </w:r>
          </w:p>
        </w:tc>
        <w:tc>
          <w:tcPr>
            <w:tcW w:w="8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30.5</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50.8</w:t>
            </w:r>
          </w:p>
        </w:tc>
        <w:tc>
          <w:tcPr>
            <w:tcW w:w="101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16.9</w:t>
            </w:r>
          </w:p>
        </w:tc>
        <w:tc>
          <w:tcPr>
            <w:tcW w:w="784"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756"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100.0</w:t>
            </w:r>
          </w:p>
        </w:tc>
        <w:tc>
          <w:tcPr>
            <w:tcW w:w="1093"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92.5</w:t>
            </w:r>
          </w:p>
        </w:tc>
        <w:tc>
          <w:tcPr>
            <w:tcW w:w="99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7.5</w:t>
            </w:r>
          </w:p>
        </w:tc>
        <w:tc>
          <w:tcPr>
            <w:tcW w:w="810" w:type="dxa"/>
            <w:tcBorders>
              <w:top w:val="nil"/>
              <w:left w:val="nil"/>
              <w:bottom w:val="nil"/>
              <w:right w:val="nil"/>
            </w:tcBorders>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100.0</w:t>
            </w:r>
          </w:p>
        </w:tc>
      </w:tr>
      <w:tr w:rsidR="00C46EB0" w:rsidRPr="005424F7" w:rsidTr="00C46EB0">
        <w:tc>
          <w:tcPr>
            <w:tcW w:w="9018" w:type="dxa"/>
            <w:gridSpan w:val="9"/>
            <w:tcBorders>
              <w:top w:val="nil"/>
              <w:left w:val="nil"/>
              <w:bottom w:val="nil"/>
              <w:right w:val="nil"/>
            </w:tcBorders>
          </w:tcPr>
          <w:p w:rsidR="00712E3A" w:rsidRDefault="00712E3A" w:rsidP="00712E3A">
            <w:pPr>
              <w:rPr>
                <w:rFonts w:ascii="Times New Roman" w:hAnsi="Times New Roman" w:cs="Times New Roman"/>
                <w:i/>
                <w:sz w:val="24"/>
                <w:szCs w:val="24"/>
                <w:lang w:val="en-GB"/>
              </w:rPr>
            </w:pPr>
          </w:p>
          <w:p w:rsidR="00C46EB0" w:rsidRPr="005424F7" w:rsidRDefault="00C46EB0" w:rsidP="00712E3A">
            <w:pPr>
              <w:rPr>
                <w:rFonts w:ascii="Times New Roman" w:hAnsi="Times New Roman" w:cs="Times New Roman"/>
                <w:sz w:val="24"/>
                <w:szCs w:val="24"/>
                <w:lang w:val="en-GB"/>
              </w:rPr>
            </w:pPr>
            <w:r w:rsidRPr="0053330B">
              <w:rPr>
                <w:rFonts w:ascii="Times New Roman" w:hAnsi="Times New Roman" w:cs="Times New Roman"/>
                <w:i/>
                <w:sz w:val="24"/>
                <w:szCs w:val="24"/>
                <w:lang w:val="en-GB"/>
              </w:rPr>
              <w:t>Sources:</w:t>
            </w:r>
            <w:r>
              <w:rPr>
                <w:rFonts w:ascii="Times New Roman" w:hAnsi="Times New Roman" w:cs="Times New Roman"/>
                <w:sz w:val="24"/>
                <w:szCs w:val="24"/>
                <w:lang w:val="en-GB"/>
              </w:rPr>
              <w:t xml:space="preserve"> CEPALSTAT and CIAT-IDB</w:t>
            </w:r>
          </w:p>
        </w:tc>
      </w:tr>
    </w:tbl>
    <w:p w:rsidR="00C46EB0" w:rsidRPr="00712E3A" w:rsidRDefault="00C46EB0" w:rsidP="00E473FA">
      <w:pPr>
        <w:spacing w:after="0" w:line="480" w:lineRule="auto"/>
        <w:ind w:firstLine="720"/>
        <w:rPr>
          <w:rFonts w:ascii="Times New Roman" w:hAnsi="Times New Roman" w:cs="Times New Roman"/>
          <w:sz w:val="24"/>
          <w:szCs w:val="24"/>
        </w:rPr>
      </w:pPr>
    </w:p>
    <w:p w:rsidR="00770AED" w:rsidRPr="00D9330B" w:rsidRDefault="00716F0A" w:rsidP="00E473FA">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From a historical perspective, the</w:t>
      </w:r>
      <w:r w:rsidR="003E0D78" w:rsidRPr="00D9330B">
        <w:rPr>
          <w:rFonts w:ascii="Times New Roman" w:hAnsi="Times New Roman" w:cs="Times New Roman"/>
          <w:sz w:val="24"/>
          <w:szCs w:val="24"/>
          <w:lang w:val="en-GB"/>
        </w:rPr>
        <w:t xml:space="preserve"> weight of indirect tax</w:t>
      </w:r>
      <w:r w:rsidR="000C60B4" w:rsidRPr="00D9330B">
        <w:rPr>
          <w:rFonts w:ascii="Times New Roman" w:hAnsi="Times New Roman" w:cs="Times New Roman"/>
          <w:sz w:val="24"/>
          <w:szCs w:val="24"/>
          <w:lang w:val="en-GB"/>
        </w:rPr>
        <w:t>es</w:t>
      </w:r>
      <w:r w:rsidR="00E473FA" w:rsidRPr="00D9330B">
        <w:rPr>
          <w:rFonts w:ascii="Times New Roman" w:hAnsi="Times New Roman" w:cs="Times New Roman"/>
          <w:sz w:val="24"/>
          <w:szCs w:val="24"/>
          <w:lang w:val="en-GB"/>
        </w:rPr>
        <w:t xml:space="preserve"> in Brazil has tended to decline, dropping</w:t>
      </w:r>
      <w:r w:rsidR="00D01D9E" w:rsidRPr="00D9330B">
        <w:rPr>
          <w:rFonts w:ascii="Times New Roman" w:hAnsi="Times New Roman" w:cs="Times New Roman"/>
          <w:sz w:val="24"/>
          <w:szCs w:val="24"/>
          <w:lang w:val="en-GB"/>
        </w:rPr>
        <w:t xml:space="preserve"> from an average of 6</w:t>
      </w:r>
      <w:r w:rsidR="00D7212E" w:rsidRPr="00D9330B">
        <w:rPr>
          <w:rFonts w:ascii="Times New Roman" w:hAnsi="Times New Roman" w:cs="Times New Roman"/>
          <w:sz w:val="24"/>
          <w:szCs w:val="24"/>
          <w:lang w:val="en-GB"/>
        </w:rPr>
        <w:t>6.</w:t>
      </w:r>
      <w:r w:rsidR="00D01D9E" w:rsidRPr="00D9330B">
        <w:rPr>
          <w:rFonts w:ascii="Times New Roman" w:hAnsi="Times New Roman" w:cs="Times New Roman"/>
          <w:sz w:val="24"/>
          <w:szCs w:val="24"/>
          <w:lang w:val="en-GB"/>
        </w:rPr>
        <w:t>7 per</w:t>
      </w:r>
      <w:r w:rsidR="00464D5D">
        <w:rPr>
          <w:rFonts w:ascii="Times New Roman" w:hAnsi="Times New Roman" w:cs="Times New Roman"/>
          <w:sz w:val="24"/>
          <w:szCs w:val="24"/>
          <w:lang w:val="en-GB"/>
        </w:rPr>
        <w:t xml:space="preserve"> </w:t>
      </w:r>
      <w:r w:rsidR="00D01D9E" w:rsidRPr="00D9330B">
        <w:rPr>
          <w:rFonts w:ascii="Times New Roman" w:hAnsi="Times New Roman" w:cs="Times New Roman"/>
          <w:sz w:val="24"/>
          <w:szCs w:val="24"/>
          <w:lang w:val="en-GB"/>
        </w:rPr>
        <w:t>cent</w:t>
      </w:r>
      <w:r w:rsidR="006A26E9" w:rsidRPr="00D9330B">
        <w:rPr>
          <w:rStyle w:val="FootnoteReference"/>
          <w:rFonts w:ascii="Times New Roman" w:hAnsi="Times New Roman" w:cs="Times New Roman"/>
          <w:sz w:val="24"/>
          <w:szCs w:val="24"/>
          <w:lang w:val="en-GB"/>
        </w:rPr>
        <w:footnoteReference w:id="11"/>
      </w:r>
      <w:r w:rsidR="00E473FA" w:rsidRPr="00D9330B">
        <w:rPr>
          <w:rFonts w:ascii="Times New Roman" w:hAnsi="Times New Roman" w:cs="Times New Roman"/>
          <w:sz w:val="24"/>
          <w:szCs w:val="24"/>
          <w:lang w:val="en-GB"/>
        </w:rPr>
        <w:t xml:space="preserve"> of </w:t>
      </w:r>
      <w:r w:rsidR="00386108" w:rsidRPr="00D9330B">
        <w:rPr>
          <w:rFonts w:ascii="Times New Roman" w:hAnsi="Times New Roman" w:cs="Times New Roman"/>
          <w:sz w:val="24"/>
          <w:szCs w:val="24"/>
          <w:lang w:val="en-GB"/>
        </w:rPr>
        <w:t xml:space="preserve">all </w:t>
      </w:r>
      <w:r w:rsidR="00E473FA" w:rsidRPr="00D9330B">
        <w:rPr>
          <w:rFonts w:ascii="Times New Roman" w:hAnsi="Times New Roman" w:cs="Times New Roman"/>
          <w:sz w:val="24"/>
          <w:szCs w:val="24"/>
          <w:lang w:val="en-GB"/>
        </w:rPr>
        <w:t>tax revenues in</w:t>
      </w:r>
      <w:r w:rsidR="00D01D9E" w:rsidRPr="00D9330B">
        <w:rPr>
          <w:rFonts w:ascii="Times New Roman" w:hAnsi="Times New Roman" w:cs="Times New Roman"/>
          <w:sz w:val="24"/>
          <w:szCs w:val="24"/>
          <w:lang w:val="en-GB"/>
        </w:rPr>
        <w:t xml:space="preserve"> the</w:t>
      </w:r>
      <w:r w:rsidR="00E473FA" w:rsidRPr="00D9330B">
        <w:rPr>
          <w:rFonts w:ascii="Times New Roman" w:hAnsi="Times New Roman" w:cs="Times New Roman"/>
          <w:sz w:val="24"/>
          <w:szCs w:val="24"/>
          <w:lang w:val="en-GB"/>
        </w:rPr>
        <w:t xml:space="preserve"> 1950</w:t>
      </w:r>
      <w:r w:rsidR="00D01D9E" w:rsidRPr="00D9330B">
        <w:rPr>
          <w:rFonts w:ascii="Times New Roman" w:hAnsi="Times New Roman" w:cs="Times New Roman"/>
          <w:sz w:val="24"/>
          <w:szCs w:val="24"/>
          <w:lang w:val="en-GB"/>
        </w:rPr>
        <w:t>s to</w:t>
      </w:r>
      <w:r w:rsidR="006A26E9" w:rsidRPr="00D9330B">
        <w:rPr>
          <w:rFonts w:ascii="Times New Roman" w:hAnsi="Times New Roman" w:cs="Times New Roman"/>
          <w:sz w:val="24"/>
          <w:szCs w:val="24"/>
          <w:lang w:val="en-GB"/>
        </w:rPr>
        <w:t xml:space="preserve"> 44.2</w:t>
      </w:r>
      <w:r w:rsidR="00E473FA" w:rsidRPr="00D9330B">
        <w:rPr>
          <w:rFonts w:ascii="Times New Roman" w:hAnsi="Times New Roman" w:cs="Times New Roman"/>
          <w:sz w:val="24"/>
          <w:szCs w:val="24"/>
          <w:lang w:val="en-GB"/>
        </w:rPr>
        <w:t xml:space="preserve"> per</w:t>
      </w:r>
      <w:r w:rsidR="00464D5D">
        <w:rPr>
          <w:rFonts w:ascii="Times New Roman" w:hAnsi="Times New Roman" w:cs="Times New Roman"/>
          <w:sz w:val="24"/>
          <w:szCs w:val="24"/>
          <w:lang w:val="en-GB"/>
        </w:rPr>
        <w:t xml:space="preserve"> </w:t>
      </w:r>
      <w:r w:rsidR="00E473FA" w:rsidRPr="00D9330B">
        <w:rPr>
          <w:rFonts w:ascii="Times New Roman" w:hAnsi="Times New Roman" w:cs="Times New Roman"/>
          <w:sz w:val="24"/>
          <w:szCs w:val="24"/>
          <w:lang w:val="en-GB"/>
        </w:rPr>
        <w:t>ce</w:t>
      </w:r>
      <w:r w:rsidR="009D2042" w:rsidRPr="00D9330B">
        <w:rPr>
          <w:rFonts w:ascii="Times New Roman" w:hAnsi="Times New Roman" w:cs="Times New Roman"/>
          <w:sz w:val="24"/>
          <w:szCs w:val="24"/>
          <w:lang w:val="en-GB"/>
        </w:rPr>
        <w:t>nt in 2008-2012</w:t>
      </w:r>
      <w:r w:rsidR="006A26E9" w:rsidRPr="00D9330B">
        <w:rPr>
          <w:rFonts w:ascii="Times New Roman" w:hAnsi="Times New Roman" w:cs="Times New Roman"/>
          <w:sz w:val="24"/>
          <w:szCs w:val="24"/>
          <w:lang w:val="en-GB"/>
        </w:rPr>
        <w:t>.</w:t>
      </w:r>
      <w:r w:rsidR="00770AED" w:rsidRPr="00D9330B">
        <w:rPr>
          <w:rFonts w:ascii="Times New Roman" w:hAnsi="Times New Roman" w:cs="Times New Roman"/>
          <w:sz w:val="24"/>
          <w:szCs w:val="24"/>
          <w:lang w:val="en-GB"/>
        </w:rPr>
        <w:t xml:space="preserve"> </w:t>
      </w:r>
      <w:r w:rsidR="00CD7F7D" w:rsidRPr="00D9330B">
        <w:rPr>
          <w:rFonts w:ascii="Times New Roman" w:hAnsi="Times New Roman" w:cs="Times New Roman"/>
          <w:sz w:val="24"/>
          <w:szCs w:val="24"/>
          <w:lang w:val="en-GB"/>
        </w:rPr>
        <w:t>Unfortunately,</w:t>
      </w:r>
      <w:r w:rsidR="006A26E9" w:rsidRPr="00D9330B">
        <w:rPr>
          <w:rFonts w:ascii="Times New Roman" w:hAnsi="Times New Roman" w:cs="Times New Roman"/>
          <w:sz w:val="24"/>
          <w:szCs w:val="24"/>
          <w:lang w:val="en-GB"/>
        </w:rPr>
        <w:t xml:space="preserve"> the </w:t>
      </w:r>
      <w:r w:rsidR="00FF63FA" w:rsidRPr="00D9330B">
        <w:rPr>
          <w:rFonts w:ascii="Times New Roman" w:hAnsi="Times New Roman" w:cs="Times New Roman"/>
          <w:sz w:val="24"/>
          <w:szCs w:val="24"/>
          <w:lang w:val="en-GB"/>
        </w:rPr>
        <w:t>most c</w:t>
      </w:r>
      <w:r w:rsidR="00BC4968" w:rsidRPr="00D9330B">
        <w:rPr>
          <w:rFonts w:ascii="Times New Roman" w:hAnsi="Times New Roman" w:cs="Times New Roman"/>
          <w:sz w:val="24"/>
          <w:szCs w:val="24"/>
          <w:lang w:val="en-GB"/>
        </w:rPr>
        <w:t xml:space="preserve">omprehensive historical source for Brazilian </w:t>
      </w:r>
      <w:r w:rsidRPr="00D9330B">
        <w:rPr>
          <w:rFonts w:ascii="Times New Roman" w:hAnsi="Times New Roman" w:cs="Times New Roman"/>
          <w:sz w:val="24"/>
          <w:szCs w:val="24"/>
          <w:lang w:val="en-GB"/>
        </w:rPr>
        <w:t>tax revenues</w:t>
      </w:r>
      <w:r w:rsidR="00CD7F7D" w:rsidRPr="00D9330B">
        <w:rPr>
          <w:rFonts w:ascii="Times New Roman" w:hAnsi="Times New Roman" w:cs="Times New Roman"/>
          <w:sz w:val="24"/>
          <w:szCs w:val="24"/>
          <w:lang w:val="en-GB"/>
        </w:rPr>
        <w:t xml:space="preserve"> </w:t>
      </w:r>
      <w:r w:rsidR="00770AED" w:rsidRPr="00D9330B">
        <w:rPr>
          <w:rFonts w:ascii="Times New Roman" w:hAnsi="Times New Roman" w:cs="Times New Roman"/>
          <w:sz w:val="24"/>
          <w:szCs w:val="24"/>
          <w:lang w:val="en-GB"/>
        </w:rPr>
        <w:t xml:space="preserve">does not separate direct taxes from </w:t>
      </w:r>
      <w:r w:rsidR="002176A7" w:rsidRPr="00D9330B">
        <w:rPr>
          <w:rFonts w:ascii="Times New Roman" w:hAnsi="Times New Roman" w:cs="Times New Roman"/>
          <w:sz w:val="24"/>
          <w:szCs w:val="24"/>
          <w:lang w:val="en-GB"/>
        </w:rPr>
        <w:t>social security contrib</w:t>
      </w:r>
      <w:r w:rsidRPr="00D9330B">
        <w:rPr>
          <w:rFonts w:ascii="Times New Roman" w:hAnsi="Times New Roman" w:cs="Times New Roman"/>
          <w:sz w:val="24"/>
          <w:szCs w:val="24"/>
          <w:lang w:val="en-GB"/>
        </w:rPr>
        <w:t>utions. However,</w:t>
      </w:r>
      <w:r w:rsidR="002176A7" w:rsidRPr="00D9330B">
        <w:rPr>
          <w:rFonts w:ascii="Times New Roman" w:hAnsi="Times New Roman" w:cs="Times New Roman"/>
          <w:sz w:val="24"/>
          <w:szCs w:val="24"/>
          <w:lang w:val="en-GB"/>
        </w:rPr>
        <w:t xml:space="preserve"> other sources</w:t>
      </w:r>
      <w:r w:rsidR="00A30030" w:rsidRPr="00D9330B">
        <w:rPr>
          <w:rFonts w:ascii="Times New Roman" w:hAnsi="Times New Roman" w:cs="Times New Roman"/>
          <w:sz w:val="24"/>
          <w:szCs w:val="24"/>
          <w:lang w:val="en-GB"/>
        </w:rPr>
        <w:t xml:space="preserve"> suggest</w:t>
      </w:r>
      <w:r w:rsidR="00386108" w:rsidRPr="00D9330B">
        <w:rPr>
          <w:rFonts w:ascii="Times New Roman" w:hAnsi="Times New Roman" w:cs="Times New Roman"/>
          <w:sz w:val="24"/>
          <w:szCs w:val="24"/>
          <w:lang w:val="en-GB"/>
        </w:rPr>
        <w:t xml:space="preserve"> </w:t>
      </w:r>
      <w:r w:rsidR="00386108" w:rsidRPr="00D9330B">
        <w:rPr>
          <w:rFonts w:ascii="Times New Roman" w:hAnsi="Times New Roman" w:cs="Times New Roman"/>
          <w:sz w:val="24"/>
          <w:szCs w:val="24"/>
          <w:lang w:val="en-GB"/>
        </w:rPr>
        <w:lastRenderedPageBreak/>
        <w:t xml:space="preserve">that both categories </w:t>
      </w:r>
      <w:r w:rsidR="00CD7F7D" w:rsidRPr="00D9330B">
        <w:rPr>
          <w:rFonts w:ascii="Times New Roman" w:hAnsi="Times New Roman" w:cs="Times New Roman"/>
          <w:sz w:val="24"/>
          <w:szCs w:val="24"/>
          <w:lang w:val="en-GB"/>
        </w:rPr>
        <w:t xml:space="preserve">have </w:t>
      </w:r>
      <w:r w:rsidR="00386108" w:rsidRPr="00D9330B">
        <w:rPr>
          <w:rFonts w:ascii="Times New Roman" w:hAnsi="Times New Roman" w:cs="Times New Roman"/>
          <w:sz w:val="24"/>
          <w:szCs w:val="24"/>
          <w:lang w:val="en-GB"/>
        </w:rPr>
        <w:t>grow</w:t>
      </w:r>
      <w:r w:rsidR="00CD7F7D" w:rsidRPr="00D9330B">
        <w:rPr>
          <w:rFonts w:ascii="Times New Roman" w:hAnsi="Times New Roman" w:cs="Times New Roman"/>
          <w:sz w:val="24"/>
          <w:szCs w:val="24"/>
          <w:lang w:val="en-GB"/>
        </w:rPr>
        <w:t>n</w:t>
      </w:r>
      <w:r w:rsidR="00386108" w:rsidRPr="00D9330B">
        <w:rPr>
          <w:rFonts w:ascii="Times New Roman" w:hAnsi="Times New Roman" w:cs="Times New Roman"/>
          <w:sz w:val="24"/>
          <w:szCs w:val="24"/>
          <w:lang w:val="en-GB"/>
        </w:rPr>
        <w:t xml:space="preserve"> in importance.</w:t>
      </w:r>
      <w:r w:rsidR="00EA1512" w:rsidRPr="00D9330B">
        <w:rPr>
          <w:rFonts w:ascii="Times New Roman" w:hAnsi="Times New Roman" w:cs="Times New Roman"/>
          <w:sz w:val="24"/>
          <w:szCs w:val="24"/>
          <w:lang w:val="en-GB"/>
        </w:rPr>
        <w:t xml:space="preserve"> For example, direct taxes levied by the central government increased their share of total tax </w:t>
      </w:r>
      <w:r w:rsidR="0007406F" w:rsidRPr="00D9330B">
        <w:rPr>
          <w:rFonts w:ascii="Times New Roman" w:hAnsi="Times New Roman" w:cs="Times New Roman"/>
          <w:sz w:val="24"/>
          <w:szCs w:val="24"/>
          <w:lang w:val="en-GB"/>
        </w:rPr>
        <w:t>revenues from an average of 13.1</w:t>
      </w:r>
      <w:r w:rsidR="000C60B4" w:rsidRPr="00D9330B">
        <w:rPr>
          <w:rFonts w:ascii="Times New Roman" w:hAnsi="Times New Roman" w:cs="Times New Roman"/>
          <w:sz w:val="24"/>
          <w:szCs w:val="24"/>
          <w:lang w:val="en-GB"/>
        </w:rPr>
        <w:t xml:space="preserve"> per</w:t>
      </w:r>
      <w:r w:rsidR="00464D5D">
        <w:rPr>
          <w:rFonts w:ascii="Times New Roman" w:hAnsi="Times New Roman" w:cs="Times New Roman"/>
          <w:sz w:val="24"/>
          <w:szCs w:val="24"/>
          <w:lang w:val="en-GB"/>
        </w:rPr>
        <w:t xml:space="preserve"> </w:t>
      </w:r>
      <w:r w:rsidR="000C60B4" w:rsidRPr="00D9330B">
        <w:rPr>
          <w:rFonts w:ascii="Times New Roman" w:hAnsi="Times New Roman" w:cs="Times New Roman"/>
          <w:sz w:val="24"/>
          <w:szCs w:val="24"/>
          <w:lang w:val="en-GB"/>
        </w:rPr>
        <w:t xml:space="preserve">cent </w:t>
      </w:r>
      <w:r w:rsidR="00215C99" w:rsidRPr="00D9330B">
        <w:rPr>
          <w:rFonts w:ascii="Times New Roman" w:hAnsi="Times New Roman" w:cs="Times New Roman"/>
          <w:sz w:val="24"/>
          <w:szCs w:val="24"/>
          <w:lang w:val="en-GB"/>
        </w:rPr>
        <w:t>in 1956-1964</w:t>
      </w:r>
      <w:r w:rsidR="00EA1512" w:rsidRPr="00D9330B">
        <w:rPr>
          <w:rFonts w:ascii="Times New Roman" w:hAnsi="Times New Roman" w:cs="Times New Roman"/>
          <w:sz w:val="24"/>
          <w:szCs w:val="24"/>
          <w:lang w:val="en-GB"/>
        </w:rPr>
        <w:t xml:space="preserve"> t</w:t>
      </w:r>
      <w:r w:rsidR="00BC4968" w:rsidRPr="00D9330B">
        <w:rPr>
          <w:rFonts w:ascii="Times New Roman" w:hAnsi="Times New Roman" w:cs="Times New Roman"/>
          <w:sz w:val="24"/>
          <w:szCs w:val="24"/>
          <w:lang w:val="en-GB"/>
        </w:rPr>
        <w:t>o 26.2</w:t>
      </w:r>
      <w:r w:rsidR="009D2042" w:rsidRPr="00D9330B">
        <w:rPr>
          <w:rFonts w:ascii="Times New Roman" w:hAnsi="Times New Roman" w:cs="Times New Roman"/>
          <w:sz w:val="24"/>
          <w:szCs w:val="24"/>
          <w:lang w:val="en-GB"/>
        </w:rPr>
        <w:t xml:space="preserve"> per</w:t>
      </w:r>
      <w:r w:rsidR="00464D5D">
        <w:rPr>
          <w:rFonts w:ascii="Times New Roman" w:hAnsi="Times New Roman" w:cs="Times New Roman"/>
          <w:sz w:val="24"/>
          <w:szCs w:val="24"/>
          <w:lang w:val="en-GB"/>
        </w:rPr>
        <w:t xml:space="preserve"> </w:t>
      </w:r>
      <w:r w:rsidR="009D2042" w:rsidRPr="00D9330B">
        <w:rPr>
          <w:rFonts w:ascii="Times New Roman" w:hAnsi="Times New Roman" w:cs="Times New Roman"/>
          <w:sz w:val="24"/>
          <w:szCs w:val="24"/>
          <w:lang w:val="en-GB"/>
        </w:rPr>
        <w:t>cent in 2008-2012</w:t>
      </w:r>
      <w:r w:rsidR="00827FAA" w:rsidRPr="00D9330B">
        <w:rPr>
          <w:rFonts w:ascii="Times New Roman" w:hAnsi="Times New Roman" w:cs="Times New Roman"/>
          <w:sz w:val="24"/>
          <w:szCs w:val="24"/>
          <w:lang w:val="en-GB"/>
        </w:rPr>
        <w:t>.</w:t>
      </w:r>
      <w:r w:rsidR="00827FAA" w:rsidRPr="00D9330B">
        <w:rPr>
          <w:rStyle w:val="FootnoteReference"/>
          <w:rFonts w:ascii="Times New Roman" w:hAnsi="Times New Roman" w:cs="Times New Roman"/>
          <w:sz w:val="24"/>
          <w:szCs w:val="24"/>
          <w:lang w:val="en-GB"/>
        </w:rPr>
        <w:footnoteReference w:id="12"/>
      </w:r>
      <w:r w:rsidR="00F735A5" w:rsidRPr="00D9330B">
        <w:rPr>
          <w:rFonts w:ascii="Times New Roman" w:hAnsi="Times New Roman" w:cs="Times New Roman"/>
          <w:sz w:val="24"/>
          <w:szCs w:val="24"/>
          <w:lang w:val="en-GB"/>
        </w:rPr>
        <w:t xml:space="preserve"> Social security contributions rose from 13.4 per</w:t>
      </w:r>
      <w:r w:rsidR="00464D5D">
        <w:rPr>
          <w:rFonts w:ascii="Times New Roman" w:hAnsi="Times New Roman" w:cs="Times New Roman"/>
          <w:sz w:val="24"/>
          <w:szCs w:val="24"/>
          <w:lang w:val="en-GB"/>
        </w:rPr>
        <w:t xml:space="preserve"> </w:t>
      </w:r>
      <w:r w:rsidR="00F735A5" w:rsidRPr="00D9330B">
        <w:rPr>
          <w:rFonts w:ascii="Times New Roman" w:hAnsi="Times New Roman" w:cs="Times New Roman"/>
          <w:sz w:val="24"/>
          <w:szCs w:val="24"/>
          <w:lang w:val="en-GB"/>
        </w:rPr>
        <w:t>cent of total t</w:t>
      </w:r>
      <w:r w:rsidR="00BC4968" w:rsidRPr="00D9330B">
        <w:rPr>
          <w:rFonts w:ascii="Times New Roman" w:hAnsi="Times New Roman" w:cs="Times New Roman"/>
          <w:sz w:val="24"/>
          <w:szCs w:val="24"/>
          <w:lang w:val="en-GB"/>
        </w:rPr>
        <w:t>ax revenues to 25.4 per</w:t>
      </w:r>
      <w:r w:rsidR="00464D5D">
        <w:rPr>
          <w:rFonts w:ascii="Times New Roman" w:hAnsi="Times New Roman" w:cs="Times New Roman"/>
          <w:sz w:val="24"/>
          <w:szCs w:val="24"/>
          <w:lang w:val="en-GB"/>
        </w:rPr>
        <w:t xml:space="preserve"> </w:t>
      </w:r>
      <w:r w:rsidR="00BC4968" w:rsidRPr="00D9330B">
        <w:rPr>
          <w:rFonts w:ascii="Times New Roman" w:hAnsi="Times New Roman" w:cs="Times New Roman"/>
          <w:sz w:val="24"/>
          <w:szCs w:val="24"/>
          <w:lang w:val="en-GB"/>
        </w:rPr>
        <w:t>cent during the same period</w:t>
      </w:r>
      <w:r w:rsidR="00F735A5" w:rsidRPr="00D9330B">
        <w:rPr>
          <w:rFonts w:ascii="Times New Roman" w:hAnsi="Times New Roman" w:cs="Times New Roman"/>
          <w:sz w:val="24"/>
          <w:szCs w:val="24"/>
          <w:lang w:val="en-GB"/>
        </w:rPr>
        <w:t>.</w:t>
      </w:r>
      <w:r w:rsidR="00827FAA" w:rsidRPr="00D9330B">
        <w:rPr>
          <w:rStyle w:val="FootnoteReference"/>
          <w:rFonts w:ascii="Times New Roman" w:hAnsi="Times New Roman" w:cs="Times New Roman"/>
          <w:sz w:val="24"/>
          <w:szCs w:val="24"/>
          <w:lang w:val="en-GB"/>
        </w:rPr>
        <w:footnoteReference w:id="13"/>
      </w:r>
    </w:p>
    <w:p w:rsidR="001D5F4F" w:rsidRPr="00D9330B" w:rsidRDefault="009E6B31" w:rsidP="00B0428B">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Data limitations</w:t>
      </w:r>
      <w:r w:rsidR="00457572"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pose</w:t>
      </w:r>
      <w:r w:rsidR="00687461" w:rsidRPr="00D9330B">
        <w:rPr>
          <w:rFonts w:ascii="Times New Roman" w:hAnsi="Times New Roman" w:cs="Times New Roman"/>
          <w:sz w:val="24"/>
          <w:szCs w:val="24"/>
          <w:lang w:val="en-GB"/>
        </w:rPr>
        <w:t xml:space="preserve"> major obstacles to a</w:t>
      </w:r>
      <w:r w:rsidR="00276685" w:rsidRPr="00D9330B">
        <w:rPr>
          <w:rFonts w:ascii="Times New Roman" w:hAnsi="Times New Roman" w:cs="Times New Roman"/>
          <w:sz w:val="24"/>
          <w:szCs w:val="24"/>
          <w:lang w:val="en-GB"/>
        </w:rPr>
        <w:t xml:space="preserve"> </w:t>
      </w:r>
      <w:r w:rsidR="00716F0A" w:rsidRPr="00D9330B">
        <w:rPr>
          <w:rFonts w:ascii="Times New Roman" w:hAnsi="Times New Roman" w:cs="Times New Roman"/>
          <w:sz w:val="24"/>
          <w:szCs w:val="24"/>
          <w:lang w:val="en-GB"/>
        </w:rPr>
        <w:t xml:space="preserve">systematic </w:t>
      </w:r>
      <w:r w:rsidR="00832065" w:rsidRPr="00D9330B">
        <w:rPr>
          <w:rFonts w:ascii="Times New Roman" w:hAnsi="Times New Roman" w:cs="Times New Roman"/>
          <w:sz w:val="24"/>
          <w:szCs w:val="24"/>
          <w:lang w:val="en-GB"/>
        </w:rPr>
        <w:t>comparison of the</w:t>
      </w:r>
      <w:r w:rsidR="00197D30" w:rsidRPr="00D9330B">
        <w:rPr>
          <w:rFonts w:ascii="Times New Roman" w:hAnsi="Times New Roman" w:cs="Times New Roman"/>
          <w:sz w:val="24"/>
          <w:szCs w:val="24"/>
          <w:lang w:val="en-GB"/>
        </w:rPr>
        <w:t xml:space="preserve"> historical</w:t>
      </w:r>
      <w:r w:rsidRPr="00D9330B">
        <w:rPr>
          <w:rFonts w:ascii="Times New Roman" w:hAnsi="Times New Roman" w:cs="Times New Roman"/>
          <w:sz w:val="24"/>
          <w:szCs w:val="24"/>
          <w:lang w:val="en-GB"/>
        </w:rPr>
        <w:t xml:space="preserve"> evolution of Brazil’s tax s</w:t>
      </w:r>
      <w:r w:rsidR="00716F0A" w:rsidRPr="00D9330B">
        <w:rPr>
          <w:rFonts w:ascii="Times New Roman" w:hAnsi="Times New Roman" w:cs="Times New Roman"/>
          <w:sz w:val="24"/>
          <w:szCs w:val="24"/>
          <w:lang w:val="en-GB"/>
        </w:rPr>
        <w:t>tructure</w:t>
      </w:r>
      <w:r w:rsidR="00E17570" w:rsidRPr="00D9330B">
        <w:rPr>
          <w:rFonts w:ascii="Times New Roman" w:hAnsi="Times New Roman" w:cs="Times New Roman"/>
          <w:sz w:val="24"/>
          <w:szCs w:val="24"/>
          <w:lang w:val="en-GB"/>
        </w:rPr>
        <w:t xml:space="preserve"> to the rest of the region</w:t>
      </w:r>
      <w:r w:rsidR="000C60B4" w:rsidRPr="00D9330B">
        <w:rPr>
          <w:rFonts w:ascii="Times New Roman" w:hAnsi="Times New Roman" w:cs="Times New Roman"/>
          <w:sz w:val="24"/>
          <w:szCs w:val="24"/>
          <w:lang w:val="en-GB"/>
        </w:rPr>
        <w:t>, but</w:t>
      </w:r>
      <w:r w:rsidR="000D6803" w:rsidRPr="00D9330B">
        <w:rPr>
          <w:rFonts w:ascii="Times New Roman" w:hAnsi="Times New Roman" w:cs="Times New Roman"/>
          <w:sz w:val="24"/>
          <w:szCs w:val="24"/>
          <w:lang w:val="en-GB"/>
        </w:rPr>
        <w:t xml:space="preserve"> the</w:t>
      </w:r>
      <w:r w:rsidRPr="00D9330B">
        <w:rPr>
          <w:rFonts w:ascii="Times New Roman" w:hAnsi="Times New Roman" w:cs="Times New Roman"/>
          <w:sz w:val="24"/>
          <w:szCs w:val="24"/>
          <w:lang w:val="en-GB"/>
        </w:rPr>
        <w:t xml:space="preserve"> basic pattern of a system based </w:t>
      </w:r>
      <w:r w:rsidR="000C60B4" w:rsidRPr="00D9330B">
        <w:rPr>
          <w:rFonts w:ascii="Times New Roman" w:hAnsi="Times New Roman" w:cs="Times New Roman"/>
          <w:sz w:val="24"/>
          <w:szCs w:val="24"/>
          <w:lang w:val="en-GB"/>
        </w:rPr>
        <w:t>mainly</w:t>
      </w:r>
      <w:r w:rsidRPr="00D9330B">
        <w:rPr>
          <w:rFonts w:ascii="Times New Roman" w:hAnsi="Times New Roman" w:cs="Times New Roman"/>
          <w:sz w:val="24"/>
          <w:szCs w:val="24"/>
          <w:lang w:val="en-GB"/>
        </w:rPr>
        <w:t xml:space="preserve"> on </w:t>
      </w:r>
      <w:r w:rsidR="00E64745" w:rsidRPr="00D9330B">
        <w:rPr>
          <w:rFonts w:ascii="Times New Roman" w:hAnsi="Times New Roman" w:cs="Times New Roman"/>
          <w:sz w:val="24"/>
          <w:szCs w:val="24"/>
          <w:lang w:val="en-GB"/>
        </w:rPr>
        <w:t>indirect</w:t>
      </w:r>
      <w:r w:rsidR="00832065" w:rsidRPr="00D9330B">
        <w:rPr>
          <w:rFonts w:ascii="Times New Roman" w:hAnsi="Times New Roman" w:cs="Times New Roman"/>
          <w:sz w:val="24"/>
          <w:szCs w:val="24"/>
          <w:lang w:val="en-GB"/>
        </w:rPr>
        <w:t xml:space="preserve"> taxes</w:t>
      </w:r>
      <w:r w:rsidR="000C60B4" w:rsidRPr="00D9330B">
        <w:rPr>
          <w:rFonts w:ascii="Times New Roman" w:hAnsi="Times New Roman" w:cs="Times New Roman"/>
          <w:sz w:val="24"/>
          <w:szCs w:val="24"/>
          <w:lang w:val="en-GB"/>
        </w:rPr>
        <w:t xml:space="preserve"> clearly</w:t>
      </w:r>
      <w:r w:rsidR="00832065" w:rsidRPr="00D9330B">
        <w:rPr>
          <w:rFonts w:ascii="Times New Roman" w:hAnsi="Times New Roman" w:cs="Times New Roman"/>
          <w:sz w:val="24"/>
          <w:szCs w:val="24"/>
          <w:lang w:val="en-GB"/>
        </w:rPr>
        <w:t xml:space="preserve"> follow</w:t>
      </w:r>
      <w:r w:rsidR="000C7ECE" w:rsidRPr="00D9330B">
        <w:rPr>
          <w:rFonts w:ascii="Times New Roman" w:hAnsi="Times New Roman" w:cs="Times New Roman"/>
          <w:sz w:val="24"/>
          <w:szCs w:val="24"/>
          <w:lang w:val="en-GB"/>
        </w:rPr>
        <w:t>s</w:t>
      </w:r>
      <w:r w:rsidR="00832065" w:rsidRPr="00D9330B">
        <w:rPr>
          <w:rFonts w:ascii="Times New Roman" w:hAnsi="Times New Roman" w:cs="Times New Roman"/>
          <w:sz w:val="24"/>
          <w:szCs w:val="24"/>
          <w:lang w:val="en-GB"/>
        </w:rPr>
        <w:t xml:space="preserve"> the</w:t>
      </w:r>
      <w:r w:rsidR="00DB7F59" w:rsidRPr="00D9330B">
        <w:rPr>
          <w:rFonts w:ascii="Times New Roman" w:hAnsi="Times New Roman" w:cs="Times New Roman"/>
          <w:sz w:val="24"/>
          <w:szCs w:val="24"/>
          <w:lang w:val="en-GB"/>
        </w:rPr>
        <w:t xml:space="preserve"> </w:t>
      </w:r>
      <w:r w:rsidR="00197D30" w:rsidRPr="00D9330B">
        <w:rPr>
          <w:rFonts w:ascii="Times New Roman" w:hAnsi="Times New Roman" w:cs="Times New Roman"/>
          <w:sz w:val="24"/>
          <w:szCs w:val="24"/>
          <w:lang w:val="en-GB"/>
        </w:rPr>
        <w:t xml:space="preserve">general </w:t>
      </w:r>
      <w:r w:rsidR="00832065" w:rsidRPr="00D9330B">
        <w:rPr>
          <w:rFonts w:ascii="Times New Roman" w:hAnsi="Times New Roman" w:cs="Times New Roman"/>
          <w:sz w:val="24"/>
          <w:szCs w:val="24"/>
          <w:lang w:val="en-GB"/>
        </w:rPr>
        <w:t>regional trend</w:t>
      </w:r>
      <w:r w:rsidRPr="00D9330B">
        <w:rPr>
          <w:rFonts w:ascii="Times New Roman" w:hAnsi="Times New Roman" w:cs="Times New Roman"/>
          <w:sz w:val="24"/>
          <w:szCs w:val="24"/>
          <w:lang w:val="en-GB"/>
        </w:rPr>
        <w:t>.</w:t>
      </w:r>
      <w:r w:rsidRPr="00D9330B">
        <w:rPr>
          <w:rStyle w:val="FootnoteReference"/>
          <w:rFonts w:ascii="Times New Roman" w:hAnsi="Times New Roman" w:cs="Times New Roman"/>
          <w:sz w:val="24"/>
          <w:szCs w:val="24"/>
          <w:lang w:val="en-GB"/>
        </w:rPr>
        <w:footnoteReference w:id="14"/>
      </w:r>
      <w:r w:rsidR="00A3695C" w:rsidRPr="00D9330B">
        <w:rPr>
          <w:rFonts w:ascii="Times New Roman" w:hAnsi="Times New Roman" w:cs="Times New Roman"/>
          <w:sz w:val="24"/>
          <w:szCs w:val="24"/>
          <w:lang w:val="en-GB"/>
        </w:rPr>
        <w:t xml:space="preserve"> </w:t>
      </w:r>
      <w:r w:rsidR="00814FBC" w:rsidRPr="00D9330B">
        <w:rPr>
          <w:rFonts w:ascii="Times New Roman" w:hAnsi="Times New Roman" w:cs="Times New Roman"/>
          <w:sz w:val="24"/>
          <w:szCs w:val="24"/>
          <w:lang w:val="en-GB"/>
        </w:rPr>
        <w:t>The Southern Cone countr</w:t>
      </w:r>
      <w:r w:rsidR="005437AD" w:rsidRPr="00D9330B">
        <w:rPr>
          <w:rFonts w:ascii="Times New Roman" w:hAnsi="Times New Roman" w:cs="Times New Roman"/>
          <w:sz w:val="24"/>
          <w:szCs w:val="24"/>
          <w:lang w:val="en-GB"/>
        </w:rPr>
        <w:t>ies have</w:t>
      </w:r>
      <w:r w:rsidR="00814FBC" w:rsidRPr="00D9330B">
        <w:rPr>
          <w:rFonts w:ascii="Times New Roman" w:hAnsi="Times New Roman" w:cs="Times New Roman"/>
          <w:sz w:val="24"/>
          <w:szCs w:val="24"/>
          <w:lang w:val="en-GB"/>
        </w:rPr>
        <w:t xml:space="preserve"> diverse</w:t>
      </w:r>
      <w:r w:rsidR="000C60B4" w:rsidRPr="00D9330B">
        <w:rPr>
          <w:rFonts w:ascii="Times New Roman" w:hAnsi="Times New Roman" w:cs="Times New Roman"/>
          <w:sz w:val="24"/>
          <w:szCs w:val="24"/>
          <w:lang w:val="en-GB"/>
        </w:rPr>
        <w:t xml:space="preserve"> historical</w:t>
      </w:r>
      <w:r w:rsidR="00814FBC" w:rsidRPr="00D9330B">
        <w:rPr>
          <w:rFonts w:ascii="Times New Roman" w:hAnsi="Times New Roman" w:cs="Times New Roman"/>
          <w:sz w:val="24"/>
          <w:szCs w:val="24"/>
          <w:lang w:val="en-GB"/>
        </w:rPr>
        <w:t xml:space="preserve"> tax structure trajectories, bu</w:t>
      </w:r>
      <w:r w:rsidR="00EF1D09" w:rsidRPr="00D9330B">
        <w:rPr>
          <w:rFonts w:ascii="Times New Roman" w:hAnsi="Times New Roman" w:cs="Times New Roman"/>
          <w:sz w:val="24"/>
          <w:szCs w:val="24"/>
          <w:lang w:val="en-GB"/>
        </w:rPr>
        <w:t>t there is one</w:t>
      </w:r>
      <w:r w:rsidR="00814FBC" w:rsidRPr="00D9330B">
        <w:rPr>
          <w:rFonts w:ascii="Times New Roman" w:hAnsi="Times New Roman" w:cs="Times New Roman"/>
          <w:sz w:val="24"/>
          <w:szCs w:val="24"/>
          <w:lang w:val="en-GB"/>
        </w:rPr>
        <w:t xml:space="preserve"> clear</w:t>
      </w:r>
      <w:r w:rsidR="00365C4D" w:rsidRPr="00D9330B">
        <w:rPr>
          <w:rFonts w:ascii="Times New Roman" w:hAnsi="Times New Roman" w:cs="Times New Roman"/>
          <w:sz w:val="24"/>
          <w:szCs w:val="24"/>
          <w:lang w:val="en-GB"/>
        </w:rPr>
        <w:t>, general</w:t>
      </w:r>
      <w:r w:rsidR="00814FBC" w:rsidRPr="00D9330B">
        <w:rPr>
          <w:rFonts w:ascii="Times New Roman" w:hAnsi="Times New Roman" w:cs="Times New Roman"/>
          <w:sz w:val="24"/>
          <w:szCs w:val="24"/>
          <w:lang w:val="en-GB"/>
        </w:rPr>
        <w:t xml:space="preserve"> difference relative to Brazil. S</w:t>
      </w:r>
      <w:r w:rsidR="00CB690E" w:rsidRPr="00D9330B">
        <w:rPr>
          <w:rFonts w:ascii="Times New Roman" w:hAnsi="Times New Roman" w:cs="Times New Roman"/>
          <w:sz w:val="24"/>
          <w:szCs w:val="24"/>
          <w:lang w:val="en-GB"/>
        </w:rPr>
        <w:t>pecifically, s</w:t>
      </w:r>
      <w:r w:rsidR="00814FBC" w:rsidRPr="00D9330B">
        <w:rPr>
          <w:rFonts w:ascii="Times New Roman" w:hAnsi="Times New Roman" w:cs="Times New Roman"/>
          <w:sz w:val="24"/>
          <w:szCs w:val="24"/>
          <w:lang w:val="en-GB"/>
        </w:rPr>
        <w:t>ocial security</w:t>
      </w:r>
      <w:r w:rsidR="00A10930" w:rsidRPr="00D9330B">
        <w:rPr>
          <w:rFonts w:ascii="Times New Roman" w:hAnsi="Times New Roman" w:cs="Times New Roman"/>
          <w:sz w:val="24"/>
          <w:szCs w:val="24"/>
          <w:lang w:val="en-GB"/>
        </w:rPr>
        <w:t xml:space="preserve"> contributions</w:t>
      </w:r>
      <w:r w:rsidR="00280E3D" w:rsidRPr="00D9330B">
        <w:rPr>
          <w:rFonts w:ascii="Times New Roman" w:hAnsi="Times New Roman" w:cs="Times New Roman"/>
          <w:sz w:val="24"/>
          <w:szCs w:val="24"/>
          <w:lang w:val="en-GB"/>
        </w:rPr>
        <w:t xml:space="preserve"> emerged as major share</w:t>
      </w:r>
      <w:r w:rsidR="00DB7F59" w:rsidRPr="00D9330B">
        <w:rPr>
          <w:rFonts w:ascii="Times New Roman" w:hAnsi="Times New Roman" w:cs="Times New Roman"/>
          <w:sz w:val="24"/>
          <w:szCs w:val="24"/>
          <w:lang w:val="en-GB"/>
        </w:rPr>
        <w:t xml:space="preserve"> </w:t>
      </w:r>
      <w:r w:rsidR="00280E3D" w:rsidRPr="00D9330B">
        <w:rPr>
          <w:rFonts w:ascii="Times New Roman" w:hAnsi="Times New Roman" w:cs="Times New Roman"/>
          <w:sz w:val="24"/>
          <w:szCs w:val="24"/>
          <w:lang w:val="en-GB"/>
        </w:rPr>
        <w:t xml:space="preserve">of </w:t>
      </w:r>
      <w:r w:rsidR="00457572" w:rsidRPr="00D9330B">
        <w:rPr>
          <w:rFonts w:ascii="Times New Roman" w:hAnsi="Times New Roman" w:cs="Times New Roman"/>
          <w:sz w:val="24"/>
          <w:szCs w:val="24"/>
          <w:lang w:val="en-GB"/>
        </w:rPr>
        <w:t>the tax burden</w:t>
      </w:r>
      <w:r w:rsidR="00280E3D" w:rsidRPr="00D9330B">
        <w:rPr>
          <w:rFonts w:ascii="Times New Roman" w:hAnsi="Times New Roman" w:cs="Times New Roman"/>
          <w:sz w:val="24"/>
          <w:szCs w:val="24"/>
          <w:lang w:val="en-GB"/>
        </w:rPr>
        <w:t xml:space="preserve"> earlier in the Southern Cone</w:t>
      </w:r>
      <w:r w:rsidR="00DB7F59" w:rsidRPr="00D9330B">
        <w:rPr>
          <w:rFonts w:ascii="Times New Roman" w:hAnsi="Times New Roman" w:cs="Times New Roman"/>
          <w:sz w:val="24"/>
          <w:szCs w:val="24"/>
          <w:lang w:val="en-GB"/>
        </w:rPr>
        <w:t>.</w:t>
      </w:r>
      <w:r w:rsidR="00832065" w:rsidRPr="00D9330B">
        <w:rPr>
          <w:rFonts w:ascii="Times New Roman" w:hAnsi="Times New Roman" w:cs="Times New Roman"/>
          <w:sz w:val="24"/>
          <w:szCs w:val="24"/>
          <w:lang w:val="en-GB"/>
        </w:rPr>
        <w:t xml:space="preserve"> By the 1950s they</w:t>
      </w:r>
      <w:r w:rsidR="00457572" w:rsidRPr="00D9330B">
        <w:rPr>
          <w:rFonts w:ascii="Times New Roman" w:hAnsi="Times New Roman" w:cs="Times New Roman"/>
          <w:sz w:val="24"/>
          <w:szCs w:val="24"/>
          <w:lang w:val="en-GB"/>
        </w:rPr>
        <w:t xml:space="preserve"> approached or</w:t>
      </w:r>
      <w:r w:rsidR="00BE3F0D" w:rsidRPr="00D9330B">
        <w:rPr>
          <w:rFonts w:ascii="Times New Roman" w:hAnsi="Times New Roman" w:cs="Times New Roman"/>
          <w:sz w:val="24"/>
          <w:szCs w:val="24"/>
          <w:lang w:val="en-GB"/>
        </w:rPr>
        <w:t xml:space="preserve"> exceeded</w:t>
      </w:r>
      <w:r w:rsidR="00D7212E" w:rsidRPr="00D9330B">
        <w:rPr>
          <w:rFonts w:ascii="Times New Roman" w:hAnsi="Times New Roman" w:cs="Times New Roman"/>
          <w:sz w:val="24"/>
          <w:szCs w:val="24"/>
          <w:lang w:val="en-GB"/>
        </w:rPr>
        <w:t xml:space="preserve"> 30 per</w:t>
      </w:r>
      <w:r w:rsidR="00E266CE">
        <w:rPr>
          <w:rFonts w:ascii="Times New Roman" w:hAnsi="Times New Roman" w:cs="Times New Roman"/>
          <w:sz w:val="24"/>
          <w:szCs w:val="24"/>
          <w:lang w:val="en-GB"/>
        </w:rPr>
        <w:t xml:space="preserve"> </w:t>
      </w:r>
      <w:r w:rsidR="00D7212E" w:rsidRPr="00D9330B">
        <w:rPr>
          <w:rFonts w:ascii="Times New Roman" w:hAnsi="Times New Roman" w:cs="Times New Roman"/>
          <w:sz w:val="24"/>
          <w:szCs w:val="24"/>
          <w:lang w:val="en-GB"/>
        </w:rPr>
        <w:t>cent</w:t>
      </w:r>
      <w:r w:rsidR="00280E3D" w:rsidRPr="00D9330B">
        <w:rPr>
          <w:rFonts w:ascii="Times New Roman" w:hAnsi="Times New Roman" w:cs="Times New Roman"/>
          <w:sz w:val="24"/>
          <w:szCs w:val="24"/>
          <w:lang w:val="en-GB"/>
        </w:rPr>
        <w:t xml:space="preserve"> of total tax revenues in all t</w:t>
      </w:r>
      <w:r w:rsidR="00BE3F0D" w:rsidRPr="00D9330B">
        <w:rPr>
          <w:rFonts w:ascii="Times New Roman" w:hAnsi="Times New Roman" w:cs="Times New Roman"/>
          <w:sz w:val="24"/>
          <w:szCs w:val="24"/>
          <w:lang w:val="en-GB"/>
        </w:rPr>
        <w:t>hree countries, a share far greater than</w:t>
      </w:r>
      <w:r w:rsidR="00280E3D" w:rsidRPr="00D9330B">
        <w:rPr>
          <w:rFonts w:ascii="Times New Roman" w:hAnsi="Times New Roman" w:cs="Times New Roman"/>
          <w:sz w:val="24"/>
          <w:szCs w:val="24"/>
          <w:lang w:val="en-GB"/>
        </w:rPr>
        <w:t xml:space="preserve"> that of Brazil.</w:t>
      </w:r>
      <w:r w:rsidR="00A048ED" w:rsidRPr="00D9330B">
        <w:rPr>
          <w:rStyle w:val="FootnoteReference"/>
          <w:rFonts w:ascii="Times New Roman" w:hAnsi="Times New Roman" w:cs="Times New Roman"/>
          <w:sz w:val="24"/>
          <w:szCs w:val="24"/>
          <w:lang w:val="en-GB"/>
        </w:rPr>
        <w:footnoteReference w:id="15"/>
      </w:r>
      <w:r w:rsidR="00814FBC" w:rsidRPr="00D9330B">
        <w:rPr>
          <w:rFonts w:ascii="Times New Roman" w:hAnsi="Times New Roman" w:cs="Times New Roman"/>
          <w:sz w:val="24"/>
          <w:szCs w:val="24"/>
          <w:lang w:val="en-GB"/>
        </w:rPr>
        <w:t xml:space="preserve"> In addition</w:t>
      </w:r>
      <w:r w:rsidR="00280E3D" w:rsidRPr="00D9330B">
        <w:rPr>
          <w:rFonts w:ascii="Times New Roman" w:hAnsi="Times New Roman" w:cs="Times New Roman"/>
          <w:sz w:val="24"/>
          <w:szCs w:val="24"/>
          <w:lang w:val="en-GB"/>
        </w:rPr>
        <w:t xml:space="preserve">, while in Brazil social security continued to increase its share during subsequent decades, in the other countries the trend was reversed. The share of social security in total tax revenues peaked in Argentina in the early </w:t>
      </w:r>
      <w:r w:rsidR="00832065" w:rsidRPr="00D9330B">
        <w:rPr>
          <w:rFonts w:ascii="Times New Roman" w:hAnsi="Times New Roman" w:cs="Times New Roman"/>
          <w:sz w:val="24"/>
          <w:szCs w:val="24"/>
          <w:lang w:val="en-GB"/>
        </w:rPr>
        <w:t>1950s, in Uruguay in the mid-</w:t>
      </w:r>
      <w:r w:rsidR="00280E3D" w:rsidRPr="00D9330B">
        <w:rPr>
          <w:rFonts w:ascii="Times New Roman" w:hAnsi="Times New Roman" w:cs="Times New Roman"/>
          <w:sz w:val="24"/>
          <w:szCs w:val="24"/>
          <w:lang w:val="en-GB"/>
        </w:rPr>
        <w:t>1960s and in Chile in the early 1970s. The change was most dramatic in</w:t>
      </w:r>
      <w:r w:rsidR="000D6803" w:rsidRPr="00D9330B">
        <w:rPr>
          <w:rFonts w:ascii="Times New Roman" w:hAnsi="Times New Roman" w:cs="Times New Roman"/>
          <w:sz w:val="24"/>
          <w:szCs w:val="24"/>
          <w:lang w:val="en-GB"/>
        </w:rPr>
        <w:t xml:space="preserve"> Chile, where </w:t>
      </w:r>
      <w:r w:rsidR="008F23BF" w:rsidRPr="00D9330B">
        <w:rPr>
          <w:rFonts w:ascii="Times New Roman" w:hAnsi="Times New Roman" w:cs="Times New Roman"/>
          <w:sz w:val="24"/>
          <w:szCs w:val="24"/>
          <w:lang w:val="en-GB"/>
        </w:rPr>
        <w:t>it</w:t>
      </w:r>
      <w:r w:rsidR="005437AD" w:rsidRPr="00D9330B">
        <w:rPr>
          <w:rFonts w:ascii="Times New Roman" w:hAnsi="Times New Roman" w:cs="Times New Roman"/>
          <w:sz w:val="24"/>
          <w:szCs w:val="24"/>
          <w:lang w:val="en-GB"/>
        </w:rPr>
        <w:t xml:space="preserve"> plummeted</w:t>
      </w:r>
      <w:r w:rsidR="000D6803" w:rsidRPr="00D9330B">
        <w:rPr>
          <w:rFonts w:ascii="Times New Roman" w:hAnsi="Times New Roman" w:cs="Times New Roman"/>
          <w:sz w:val="24"/>
          <w:szCs w:val="24"/>
          <w:lang w:val="en-GB"/>
        </w:rPr>
        <w:t xml:space="preserve"> from nearly</w:t>
      </w:r>
      <w:r w:rsidR="00365C4D" w:rsidRPr="00D9330B">
        <w:rPr>
          <w:rFonts w:ascii="Times New Roman" w:hAnsi="Times New Roman" w:cs="Times New Roman"/>
          <w:sz w:val="24"/>
          <w:szCs w:val="24"/>
          <w:lang w:val="en-GB"/>
        </w:rPr>
        <w:t xml:space="preserve"> 40 per</w:t>
      </w:r>
      <w:r w:rsidR="00E266CE">
        <w:rPr>
          <w:rFonts w:ascii="Times New Roman" w:hAnsi="Times New Roman" w:cs="Times New Roman"/>
          <w:sz w:val="24"/>
          <w:szCs w:val="24"/>
          <w:lang w:val="en-GB"/>
        </w:rPr>
        <w:t xml:space="preserve"> </w:t>
      </w:r>
      <w:r w:rsidR="00365C4D" w:rsidRPr="00D9330B">
        <w:rPr>
          <w:rFonts w:ascii="Times New Roman" w:hAnsi="Times New Roman" w:cs="Times New Roman"/>
          <w:sz w:val="24"/>
          <w:szCs w:val="24"/>
          <w:lang w:val="en-GB"/>
        </w:rPr>
        <w:lastRenderedPageBreak/>
        <w:t>cent</w:t>
      </w:r>
      <w:r w:rsidR="000D6803" w:rsidRPr="00D9330B">
        <w:rPr>
          <w:rFonts w:ascii="Times New Roman" w:hAnsi="Times New Roman" w:cs="Times New Roman"/>
          <w:sz w:val="24"/>
          <w:szCs w:val="24"/>
          <w:lang w:val="en-GB"/>
        </w:rPr>
        <w:t xml:space="preserve"> to </w:t>
      </w:r>
      <w:r w:rsidR="00814FBC" w:rsidRPr="00D9330B">
        <w:rPr>
          <w:rFonts w:ascii="Times New Roman" w:hAnsi="Times New Roman" w:cs="Times New Roman"/>
          <w:sz w:val="24"/>
          <w:szCs w:val="24"/>
          <w:lang w:val="en-GB"/>
        </w:rPr>
        <w:t xml:space="preserve">only </w:t>
      </w:r>
      <w:r w:rsidR="00E266CE">
        <w:rPr>
          <w:rFonts w:ascii="Times New Roman" w:hAnsi="Times New Roman" w:cs="Times New Roman"/>
          <w:sz w:val="24"/>
          <w:szCs w:val="24"/>
          <w:lang w:val="en-GB"/>
        </w:rPr>
        <w:t>ten</w:t>
      </w:r>
      <w:r w:rsidR="000D6803" w:rsidRPr="00D9330B">
        <w:rPr>
          <w:rFonts w:ascii="Times New Roman" w:hAnsi="Times New Roman" w:cs="Times New Roman"/>
          <w:sz w:val="24"/>
          <w:szCs w:val="24"/>
          <w:lang w:val="en-GB"/>
        </w:rPr>
        <w:t xml:space="preserve"> by the late 1980s.</w:t>
      </w:r>
      <w:r w:rsidR="00EF1D09" w:rsidRPr="00D9330B">
        <w:rPr>
          <w:rFonts w:ascii="Times New Roman" w:hAnsi="Times New Roman" w:cs="Times New Roman"/>
          <w:sz w:val="24"/>
          <w:szCs w:val="24"/>
          <w:lang w:val="en-GB"/>
        </w:rPr>
        <w:t xml:space="preserve"> Brazil’s </w:t>
      </w:r>
      <w:r w:rsidR="006C2F62" w:rsidRPr="00D9330B">
        <w:rPr>
          <w:rFonts w:ascii="Times New Roman" w:hAnsi="Times New Roman" w:cs="Times New Roman"/>
          <w:sz w:val="24"/>
          <w:szCs w:val="24"/>
          <w:lang w:val="en-GB"/>
        </w:rPr>
        <w:t>anomalous</w:t>
      </w:r>
      <w:r w:rsidR="00EF1D09" w:rsidRPr="00D9330B">
        <w:rPr>
          <w:rFonts w:ascii="Times New Roman" w:hAnsi="Times New Roman" w:cs="Times New Roman"/>
          <w:sz w:val="24"/>
          <w:szCs w:val="24"/>
          <w:lang w:val="en-GB"/>
        </w:rPr>
        <w:t xml:space="preserve"> trajector</w:t>
      </w:r>
      <w:r w:rsidR="00832065" w:rsidRPr="00D9330B">
        <w:rPr>
          <w:rFonts w:ascii="Times New Roman" w:hAnsi="Times New Roman" w:cs="Times New Roman"/>
          <w:sz w:val="24"/>
          <w:szCs w:val="24"/>
          <w:lang w:val="en-GB"/>
        </w:rPr>
        <w:t>y in this regard</w:t>
      </w:r>
      <w:r w:rsidR="00EF1D09" w:rsidRPr="00D9330B">
        <w:rPr>
          <w:rFonts w:ascii="Times New Roman" w:hAnsi="Times New Roman" w:cs="Times New Roman"/>
          <w:sz w:val="24"/>
          <w:szCs w:val="24"/>
          <w:lang w:val="en-GB"/>
        </w:rPr>
        <w:t xml:space="preserve"> is a key reason why its tax burden ended up surpassing those of the Southern Cone countries.</w:t>
      </w:r>
    </w:p>
    <w:p w:rsidR="006D64D7" w:rsidRDefault="006D64D7" w:rsidP="001D5F4F">
      <w:pPr>
        <w:spacing w:after="0" w:line="480" w:lineRule="auto"/>
        <w:rPr>
          <w:rFonts w:ascii="Times New Roman" w:hAnsi="Times New Roman" w:cs="Times New Roman"/>
          <w:sz w:val="24"/>
          <w:szCs w:val="24"/>
          <w:lang w:val="en-GB"/>
        </w:rPr>
      </w:pPr>
    </w:p>
    <w:p w:rsidR="001D5F4F" w:rsidRPr="00D9330B" w:rsidRDefault="003505D6" w:rsidP="001D5F4F">
      <w:pPr>
        <w:spacing w:after="0" w:line="480" w:lineRule="auto"/>
        <w:jc w:val="center"/>
        <w:rPr>
          <w:rFonts w:ascii="Times New Roman" w:hAnsi="Times New Roman" w:cs="Times New Roman"/>
          <w:i/>
          <w:sz w:val="24"/>
          <w:szCs w:val="24"/>
          <w:lang w:val="en-GB"/>
        </w:rPr>
      </w:pPr>
      <w:r w:rsidRPr="00D9330B">
        <w:rPr>
          <w:rFonts w:ascii="Times New Roman" w:hAnsi="Times New Roman" w:cs="Times New Roman"/>
          <w:i/>
          <w:sz w:val="24"/>
          <w:szCs w:val="24"/>
          <w:lang w:val="en-GB"/>
        </w:rPr>
        <w:t>General Theories of Taxation</w:t>
      </w:r>
      <w:r w:rsidR="00676346" w:rsidRPr="00D9330B">
        <w:rPr>
          <w:rFonts w:ascii="Times New Roman" w:hAnsi="Times New Roman" w:cs="Times New Roman"/>
          <w:i/>
          <w:sz w:val="24"/>
          <w:szCs w:val="24"/>
          <w:lang w:val="en-GB"/>
        </w:rPr>
        <w:t xml:space="preserve"> Level</w:t>
      </w:r>
      <w:r w:rsidR="00AF6B63" w:rsidRPr="00D9330B">
        <w:rPr>
          <w:rFonts w:ascii="Times New Roman" w:hAnsi="Times New Roman" w:cs="Times New Roman"/>
          <w:i/>
          <w:sz w:val="24"/>
          <w:szCs w:val="24"/>
          <w:lang w:val="en-GB"/>
        </w:rPr>
        <w:t xml:space="preserve"> and </w:t>
      </w:r>
      <w:r w:rsidR="00ED410E" w:rsidRPr="00D9330B">
        <w:rPr>
          <w:rFonts w:ascii="Times New Roman" w:hAnsi="Times New Roman" w:cs="Times New Roman"/>
          <w:i/>
          <w:sz w:val="24"/>
          <w:szCs w:val="24"/>
          <w:lang w:val="en-GB"/>
        </w:rPr>
        <w:t xml:space="preserve">the </w:t>
      </w:r>
      <w:r w:rsidR="00AF6B63" w:rsidRPr="00D9330B">
        <w:rPr>
          <w:rFonts w:ascii="Times New Roman" w:hAnsi="Times New Roman" w:cs="Times New Roman"/>
          <w:i/>
          <w:sz w:val="24"/>
          <w:szCs w:val="24"/>
          <w:lang w:val="en-GB"/>
        </w:rPr>
        <w:t>Brazil</w:t>
      </w:r>
      <w:r w:rsidR="00ED410E" w:rsidRPr="00D9330B">
        <w:rPr>
          <w:rFonts w:ascii="Times New Roman" w:hAnsi="Times New Roman" w:cs="Times New Roman"/>
          <w:i/>
          <w:sz w:val="24"/>
          <w:szCs w:val="24"/>
          <w:lang w:val="en-GB"/>
        </w:rPr>
        <w:t>ian Case</w:t>
      </w:r>
    </w:p>
    <w:p w:rsidR="001D5F4F" w:rsidRPr="00D9330B" w:rsidRDefault="001D5F4F" w:rsidP="001D5F4F">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r>
      <w:r w:rsidR="00304FBF" w:rsidRPr="00D9330B">
        <w:rPr>
          <w:rFonts w:ascii="Times New Roman" w:hAnsi="Times New Roman" w:cs="Times New Roman"/>
          <w:sz w:val="24"/>
          <w:szCs w:val="24"/>
          <w:lang w:val="en-GB"/>
        </w:rPr>
        <w:t>A wide range of theories</w:t>
      </w:r>
      <w:r w:rsidRPr="00D9330B">
        <w:rPr>
          <w:rFonts w:ascii="Times New Roman" w:hAnsi="Times New Roman" w:cs="Times New Roman"/>
          <w:sz w:val="24"/>
          <w:szCs w:val="24"/>
          <w:lang w:val="en-GB"/>
        </w:rPr>
        <w:t xml:space="preserve"> purport to explain variation in taxation level</w:t>
      </w:r>
      <w:r w:rsidR="00D10214">
        <w:rPr>
          <w:rFonts w:ascii="Times New Roman" w:hAnsi="Times New Roman" w:cs="Times New Roman"/>
          <w:sz w:val="24"/>
          <w:szCs w:val="24"/>
          <w:lang w:val="en-GB"/>
        </w:rPr>
        <w:t xml:space="preserve">. </w:t>
      </w:r>
      <w:r w:rsidR="00C00A9B">
        <w:rPr>
          <w:rFonts w:ascii="Times New Roman" w:hAnsi="Times New Roman" w:cs="Times New Roman"/>
          <w:sz w:val="24"/>
          <w:szCs w:val="24"/>
          <w:lang w:val="en-GB"/>
        </w:rPr>
        <w:t>Economic and institutional theories tend to suggest that Brazi</w:t>
      </w:r>
      <w:r w:rsidR="00C71CBF">
        <w:rPr>
          <w:rFonts w:ascii="Times New Roman" w:hAnsi="Times New Roman" w:cs="Times New Roman"/>
          <w:sz w:val="24"/>
          <w:szCs w:val="24"/>
          <w:lang w:val="en-GB"/>
        </w:rPr>
        <w:t>l should have light or</w:t>
      </w:r>
      <w:r w:rsidR="00C00A9B">
        <w:rPr>
          <w:rFonts w:ascii="Times New Roman" w:hAnsi="Times New Roman" w:cs="Times New Roman"/>
          <w:sz w:val="24"/>
          <w:szCs w:val="24"/>
          <w:lang w:val="en-GB"/>
        </w:rPr>
        <w:t xml:space="preserve"> moderate taxation</w:t>
      </w:r>
      <w:r w:rsidR="00C71CBF">
        <w:rPr>
          <w:rFonts w:ascii="Times New Roman" w:hAnsi="Times New Roman" w:cs="Times New Roman"/>
          <w:sz w:val="24"/>
          <w:szCs w:val="24"/>
          <w:lang w:val="en-GB"/>
        </w:rPr>
        <w:t xml:space="preserve"> and thus provide little insight into this case</w:t>
      </w:r>
      <w:r w:rsidR="00C00A9B">
        <w:rPr>
          <w:rFonts w:ascii="Times New Roman" w:hAnsi="Times New Roman" w:cs="Times New Roman"/>
          <w:sz w:val="24"/>
          <w:szCs w:val="24"/>
          <w:lang w:val="en-GB"/>
        </w:rPr>
        <w:t>.</w:t>
      </w:r>
      <w:r w:rsidR="00E32569">
        <w:rPr>
          <w:rFonts w:ascii="Times New Roman" w:hAnsi="Times New Roman" w:cs="Times New Roman"/>
          <w:sz w:val="24"/>
          <w:szCs w:val="24"/>
          <w:lang w:val="en-GB"/>
        </w:rPr>
        <w:t xml:space="preserve"> </w:t>
      </w:r>
      <w:r w:rsidR="00835B6A">
        <w:rPr>
          <w:rFonts w:ascii="Times New Roman" w:hAnsi="Times New Roman" w:cs="Times New Roman"/>
          <w:sz w:val="24"/>
          <w:szCs w:val="24"/>
          <w:lang w:val="en-GB"/>
        </w:rPr>
        <w:t>Perhaps t</w:t>
      </w:r>
      <w:r w:rsidR="00E32569">
        <w:rPr>
          <w:rFonts w:ascii="Times New Roman" w:hAnsi="Times New Roman" w:cs="Times New Roman"/>
          <w:sz w:val="24"/>
          <w:szCs w:val="24"/>
          <w:lang w:val="en-GB"/>
        </w:rPr>
        <w:t xml:space="preserve">he </w:t>
      </w:r>
      <w:r w:rsidR="009C4824">
        <w:rPr>
          <w:rFonts w:ascii="Times New Roman" w:hAnsi="Times New Roman" w:cs="Times New Roman"/>
          <w:sz w:val="24"/>
          <w:szCs w:val="24"/>
          <w:lang w:val="en-GB"/>
        </w:rPr>
        <w:t xml:space="preserve">major </w:t>
      </w:r>
      <w:r w:rsidR="00E32569">
        <w:rPr>
          <w:rFonts w:ascii="Times New Roman" w:hAnsi="Times New Roman" w:cs="Times New Roman"/>
          <w:sz w:val="24"/>
          <w:szCs w:val="24"/>
          <w:lang w:val="en-GB"/>
        </w:rPr>
        <w:t>exception is the scholarship on the political economy of natural resources, which provides a clear answer to the riddle of Brazil’s heavy taxation, but one that is obviously incomplete. C</w:t>
      </w:r>
      <w:r w:rsidR="00C00A9B">
        <w:rPr>
          <w:rFonts w:ascii="Times New Roman" w:hAnsi="Times New Roman" w:cs="Times New Roman"/>
          <w:sz w:val="24"/>
          <w:szCs w:val="24"/>
          <w:lang w:val="en-GB"/>
        </w:rPr>
        <w:t>ertain t</w:t>
      </w:r>
      <w:r w:rsidR="00D10214">
        <w:rPr>
          <w:rFonts w:ascii="Times New Roman" w:hAnsi="Times New Roman" w:cs="Times New Roman"/>
          <w:sz w:val="24"/>
          <w:szCs w:val="24"/>
          <w:lang w:val="en-GB"/>
        </w:rPr>
        <w:t xml:space="preserve">heories focusing on the role of </w:t>
      </w:r>
      <w:r w:rsidR="00C00A9B">
        <w:rPr>
          <w:rFonts w:ascii="Times New Roman" w:hAnsi="Times New Roman" w:cs="Times New Roman"/>
          <w:sz w:val="24"/>
          <w:szCs w:val="24"/>
          <w:lang w:val="en-GB"/>
        </w:rPr>
        <w:t xml:space="preserve">specific </w:t>
      </w:r>
      <w:r w:rsidR="00D10214">
        <w:rPr>
          <w:rFonts w:ascii="Times New Roman" w:hAnsi="Times New Roman" w:cs="Times New Roman"/>
          <w:sz w:val="24"/>
          <w:szCs w:val="24"/>
          <w:lang w:val="en-GB"/>
        </w:rPr>
        <w:t>collective actors</w:t>
      </w:r>
      <w:r w:rsidR="00C00A9B">
        <w:rPr>
          <w:rFonts w:ascii="Times New Roman" w:hAnsi="Times New Roman" w:cs="Times New Roman"/>
          <w:sz w:val="24"/>
          <w:szCs w:val="24"/>
          <w:lang w:val="en-GB"/>
        </w:rPr>
        <w:t xml:space="preserve"> </w:t>
      </w:r>
      <w:r w:rsidR="00907922">
        <w:rPr>
          <w:rFonts w:ascii="Times New Roman" w:hAnsi="Times New Roman" w:cs="Times New Roman"/>
          <w:sz w:val="24"/>
          <w:szCs w:val="24"/>
          <w:lang w:val="en-GB"/>
        </w:rPr>
        <w:t>also</w:t>
      </w:r>
      <w:r w:rsidR="00E32569">
        <w:rPr>
          <w:rFonts w:ascii="Times New Roman" w:hAnsi="Times New Roman" w:cs="Times New Roman"/>
          <w:sz w:val="24"/>
          <w:szCs w:val="24"/>
          <w:lang w:val="en-GB"/>
        </w:rPr>
        <w:t xml:space="preserve"> </w:t>
      </w:r>
      <w:r w:rsidR="00D10214">
        <w:rPr>
          <w:rFonts w:ascii="Times New Roman" w:hAnsi="Times New Roman" w:cs="Times New Roman"/>
          <w:sz w:val="24"/>
          <w:szCs w:val="24"/>
          <w:lang w:val="en-GB"/>
        </w:rPr>
        <w:t>illuminate</w:t>
      </w:r>
      <w:r w:rsidR="00E32569">
        <w:rPr>
          <w:rFonts w:ascii="Times New Roman" w:hAnsi="Times New Roman" w:cs="Times New Roman"/>
          <w:sz w:val="24"/>
          <w:szCs w:val="24"/>
          <w:lang w:val="en-GB"/>
        </w:rPr>
        <w:t xml:space="preserve"> important</w:t>
      </w:r>
      <w:r w:rsidR="009C4824">
        <w:rPr>
          <w:rFonts w:ascii="Times New Roman" w:hAnsi="Times New Roman" w:cs="Times New Roman"/>
          <w:sz w:val="24"/>
          <w:szCs w:val="24"/>
          <w:lang w:val="en-GB"/>
        </w:rPr>
        <w:t xml:space="preserve"> aspects of the Brazilian cas</w:t>
      </w:r>
      <w:r w:rsidR="00907922">
        <w:rPr>
          <w:rFonts w:ascii="Times New Roman" w:hAnsi="Times New Roman" w:cs="Times New Roman"/>
          <w:sz w:val="24"/>
          <w:szCs w:val="24"/>
          <w:lang w:val="en-GB"/>
        </w:rPr>
        <w:t>e. However,</w:t>
      </w:r>
      <w:r w:rsidR="00835B6A">
        <w:rPr>
          <w:rFonts w:ascii="Times New Roman" w:hAnsi="Times New Roman" w:cs="Times New Roman"/>
          <w:sz w:val="24"/>
          <w:szCs w:val="24"/>
          <w:lang w:val="en-GB"/>
        </w:rPr>
        <w:t xml:space="preserve"> they </w:t>
      </w:r>
      <w:r w:rsidR="00907922">
        <w:rPr>
          <w:rFonts w:ascii="Times New Roman" w:hAnsi="Times New Roman" w:cs="Times New Roman"/>
          <w:sz w:val="24"/>
          <w:szCs w:val="24"/>
          <w:lang w:val="en-GB"/>
        </w:rPr>
        <w:t xml:space="preserve">either </w:t>
      </w:r>
      <w:r w:rsidR="00835B6A">
        <w:rPr>
          <w:rFonts w:ascii="Times New Roman" w:hAnsi="Times New Roman" w:cs="Times New Roman"/>
          <w:sz w:val="24"/>
          <w:szCs w:val="24"/>
          <w:lang w:val="en-GB"/>
        </w:rPr>
        <w:t>contradict or overlook others.</w:t>
      </w:r>
    </w:p>
    <w:p w:rsidR="001D5F4F" w:rsidRPr="00D9330B" w:rsidRDefault="001A7686" w:rsidP="001A7686">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D</w:t>
      </w:r>
      <w:r w:rsidR="001D5F4F" w:rsidRPr="00D9330B">
        <w:rPr>
          <w:rFonts w:ascii="Times New Roman" w:hAnsi="Times New Roman" w:cs="Times New Roman"/>
          <w:sz w:val="24"/>
          <w:szCs w:val="24"/>
          <w:lang w:val="en-GB"/>
        </w:rPr>
        <w:t>ifferences in taxation level</w:t>
      </w:r>
      <w:r w:rsidRPr="00D9330B">
        <w:rPr>
          <w:rFonts w:ascii="Times New Roman" w:hAnsi="Times New Roman" w:cs="Times New Roman"/>
          <w:sz w:val="24"/>
          <w:szCs w:val="24"/>
          <w:lang w:val="en-GB"/>
        </w:rPr>
        <w:t xml:space="preserve"> have been attributed</w:t>
      </w:r>
      <w:r w:rsidR="001D5F4F" w:rsidRPr="00D9330B">
        <w:rPr>
          <w:rFonts w:ascii="Times New Roman" w:hAnsi="Times New Roman" w:cs="Times New Roman"/>
          <w:sz w:val="24"/>
          <w:szCs w:val="24"/>
          <w:lang w:val="en-GB"/>
        </w:rPr>
        <w:t xml:space="preserve"> to</w:t>
      </w:r>
      <w:r w:rsidRPr="00D9330B">
        <w:rPr>
          <w:rFonts w:ascii="Times New Roman" w:hAnsi="Times New Roman" w:cs="Times New Roman"/>
          <w:sz w:val="24"/>
          <w:szCs w:val="24"/>
          <w:lang w:val="en-GB"/>
        </w:rPr>
        <w:t xml:space="preserve"> a variety of</w:t>
      </w:r>
      <w:r w:rsidR="001D5F4F" w:rsidRPr="00D9330B">
        <w:rPr>
          <w:rFonts w:ascii="Times New Roman" w:hAnsi="Times New Roman" w:cs="Times New Roman"/>
          <w:sz w:val="24"/>
          <w:szCs w:val="24"/>
          <w:lang w:val="en-GB"/>
        </w:rPr>
        <w:t xml:space="preserve"> economic variables. Scholars have often found a positive correlation between a country’s</w:t>
      </w:r>
      <w:r w:rsidR="009A6CCC" w:rsidRPr="00D9330B">
        <w:rPr>
          <w:rFonts w:ascii="Times New Roman" w:hAnsi="Times New Roman" w:cs="Times New Roman"/>
          <w:sz w:val="24"/>
          <w:szCs w:val="24"/>
          <w:lang w:val="en-GB"/>
        </w:rPr>
        <w:t xml:space="preserve"> </w:t>
      </w:r>
      <w:r w:rsidR="005F274F" w:rsidRPr="00D9330B">
        <w:rPr>
          <w:rFonts w:ascii="Times New Roman" w:hAnsi="Times New Roman" w:cs="Times New Roman"/>
          <w:sz w:val="24"/>
          <w:szCs w:val="24"/>
          <w:lang w:val="en-GB"/>
        </w:rPr>
        <w:t>level of</w:t>
      </w:r>
      <w:r w:rsidR="004F07EB"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 xml:space="preserve">development </w:t>
      </w:r>
      <w:r w:rsidR="00ED36A7" w:rsidRPr="00D9330B">
        <w:rPr>
          <w:rFonts w:ascii="Times New Roman" w:hAnsi="Times New Roman" w:cs="Times New Roman"/>
          <w:sz w:val="24"/>
          <w:szCs w:val="24"/>
          <w:lang w:val="en-GB"/>
        </w:rPr>
        <w:t>and its tax burden and</w:t>
      </w:r>
      <w:r w:rsidR="001D5F4F" w:rsidRPr="00D9330B">
        <w:rPr>
          <w:rFonts w:ascii="Times New Roman" w:hAnsi="Times New Roman" w:cs="Times New Roman"/>
          <w:sz w:val="24"/>
          <w:szCs w:val="24"/>
          <w:lang w:val="en-GB"/>
        </w:rPr>
        <w:t xml:space="preserve"> have proposed various arguments to explain it. However, this line of research is not relevant h</w:t>
      </w:r>
      <w:r w:rsidR="00457572" w:rsidRPr="00D9330B">
        <w:rPr>
          <w:rFonts w:ascii="Times New Roman" w:hAnsi="Times New Roman" w:cs="Times New Roman"/>
          <w:sz w:val="24"/>
          <w:szCs w:val="24"/>
          <w:lang w:val="en-GB"/>
        </w:rPr>
        <w:t>ere, since there are several</w:t>
      </w:r>
      <w:r w:rsidR="001D5F4F" w:rsidRPr="00D9330B">
        <w:rPr>
          <w:rFonts w:ascii="Times New Roman" w:hAnsi="Times New Roman" w:cs="Times New Roman"/>
          <w:sz w:val="24"/>
          <w:szCs w:val="24"/>
          <w:lang w:val="en-GB"/>
        </w:rPr>
        <w:t xml:space="preserve"> Latin American countries with a per capita GDP similar to or higher than Brazil’s.</w:t>
      </w:r>
      <w:r w:rsidR="001D5F4F" w:rsidRPr="00D9330B">
        <w:rPr>
          <w:rStyle w:val="FootnoteReference"/>
          <w:rFonts w:ascii="Times New Roman" w:hAnsi="Times New Roman" w:cs="Times New Roman"/>
          <w:sz w:val="24"/>
          <w:szCs w:val="24"/>
          <w:lang w:val="en-GB"/>
        </w:rPr>
        <w:footnoteReference w:id="16"/>
      </w:r>
      <w:r w:rsidR="004D3984" w:rsidRPr="00D9330B">
        <w:rPr>
          <w:rFonts w:ascii="Times New Roman" w:hAnsi="Times New Roman" w:cs="Times New Roman"/>
          <w:sz w:val="24"/>
          <w:szCs w:val="24"/>
          <w:lang w:val="en-GB"/>
        </w:rPr>
        <w:t xml:space="preserve"> </w:t>
      </w:r>
      <w:r w:rsidR="009A6CCC" w:rsidRPr="00D9330B">
        <w:rPr>
          <w:rFonts w:ascii="Times New Roman" w:hAnsi="Times New Roman" w:cs="Times New Roman"/>
          <w:sz w:val="24"/>
          <w:szCs w:val="24"/>
          <w:lang w:val="en-GB"/>
        </w:rPr>
        <w:t>Economists have also viewed the size of the farm sector as inversely related to the tax burden, since agricultu</w:t>
      </w:r>
      <w:r w:rsidR="00882ED7" w:rsidRPr="00D9330B">
        <w:rPr>
          <w:rFonts w:ascii="Times New Roman" w:hAnsi="Times New Roman" w:cs="Times New Roman"/>
          <w:sz w:val="24"/>
          <w:szCs w:val="24"/>
          <w:lang w:val="en-GB"/>
        </w:rPr>
        <w:t>re is</w:t>
      </w:r>
      <w:r w:rsidR="009A6CCC" w:rsidRPr="00D9330B">
        <w:rPr>
          <w:rFonts w:ascii="Times New Roman" w:hAnsi="Times New Roman" w:cs="Times New Roman"/>
          <w:sz w:val="24"/>
          <w:szCs w:val="24"/>
          <w:lang w:val="en-GB"/>
        </w:rPr>
        <w:t xml:space="preserve"> hard to tax.</w:t>
      </w:r>
      <w:r w:rsidR="00473179" w:rsidRPr="00D9330B">
        <w:rPr>
          <w:rStyle w:val="FootnoteReference"/>
          <w:rFonts w:ascii="Times New Roman" w:hAnsi="Times New Roman" w:cs="Times New Roman"/>
          <w:sz w:val="24"/>
          <w:szCs w:val="24"/>
          <w:lang w:val="en-GB"/>
        </w:rPr>
        <w:footnoteReference w:id="17"/>
      </w:r>
      <w:r w:rsidR="009A6CCC" w:rsidRPr="00D9330B">
        <w:rPr>
          <w:rFonts w:ascii="Times New Roman" w:hAnsi="Times New Roman" w:cs="Times New Roman"/>
          <w:sz w:val="24"/>
          <w:szCs w:val="24"/>
          <w:lang w:val="en-GB"/>
        </w:rPr>
        <w:t xml:space="preserve">  </w:t>
      </w:r>
      <w:r w:rsidR="007874E5" w:rsidRPr="00D9330B">
        <w:rPr>
          <w:rFonts w:ascii="Times New Roman" w:hAnsi="Times New Roman" w:cs="Times New Roman"/>
          <w:sz w:val="24"/>
          <w:szCs w:val="24"/>
          <w:lang w:val="en-GB"/>
        </w:rPr>
        <w:t>However, the share of agriculture in Brazil’s GDP is almost identical to the regional average</w:t>
      </w:r>
      <w:r w:rsidR="00882ED7" w:rsidRPr="00D9330B">
        <w:rPr>
          <w:rFonts w:ascii="Times New Roman" w:hAnsi="Times New Roman" w:cs="Times New Roman"/>
          <w:sz w:val="24"/>
          <w:szCs w:val="24"/>
          <w:lang w:val="en-GB"/>
        </w:rPr>
        <w:t xml:space="preserve">, so this variable would </w:t>
      </w:r>
      <w:r w:rsidR="00882ED7" w:rsidRPr="00D9330B">
        <w:rPr>
          <w:rFonts w:ascii="Times New Roman" w:hAnsi="Times New Roman" w:cs="Times New Roman"/>
          <w:sz w:val="24"/>
          <w:szCs w:val="24"/>
          <w:lang w:val="en-GB"/>
        </w:rPr>
        <w:lastRenderedPageBreak/>
        <w:t>seem to provide little leverage</w:t>
      </w:r>
      <w:r w:rsidR="009A6CCC" w:rsidRPr="00D9330B">
        <w:rPr>
          <w:rFonts w:ascii="Times New Roman" w:hAnsi="Times New Roman" w:cs="Times New Roman"/>
          <w:sz w:val="24"/>
          <w:szCs w:val="24"/>
          <w:lang w:val="en-GB"/>
        </w:rPr>
        <w:t>.</w:t>
      </w:r>
      <w:r w:rsidR="00BB4C46" w:rsidRPr="00D9330B">
        <w:rPr>
          <w:rStyle w:val="FootnoteReference"/>
          <w:rFonts w:ascii="Times New Roman" w:hAnsi="Times New Roman" w:cs="Times New Roman"/>
          <w:sz w:val="24"/>
          <w:szCs w:val="24"/>
          <w:lang w:val="en-GB"/>
        </w:rPr>
        <w:footnoteReference w:id="18"/>
      </w:r>
      <w:r w:rsidR="009A6CCC" w:rsidRPr="00D9330B">
        <w:rPr>
          <w:rFonts w:ascii="Times New Roman" w:hAnsi="Times New Roman" w:cs="Times New Roman"/>
          <w:sz w:val="24"/>
          <w:szCs w:val="24"/>
          <w:lang w:val="en-GB"/>
        </w:rPr>
        <w:t xml:space="preserve"> </w:t>
      </w:r>
      <w:r w:rsidR="00882ED7" w:rsidRPr="00D9330B">
        <w:rPr>
          <w:rFonts w:ascii="Times New Roman" w:hAnsi="Times New Roman" w:cs="Times New Roman"/>
          <w:sz w:val="24"/>
          <w:szCs w:val="24"/>
          <w:lang w:val="en-GB"/>
        </w:rPr>
        <w:t>Another</w:t>
      </w:r>
      <w:r w:rsidR="001D5F4F" w:rsidRPr="00D9330B">
        <w:rPr>
          <w:rFonts w:ascii="Times New Roman" w:hAnsi="Times New Roman" w:cs="Times New Roman"/>
          <w:sz w:val="24"/>
          <w:szCs w:val="24"/>
          <w:lang w:val="en-GB"/>
        </w:rPr>
        <w:t xml:space="preserve"> theory asserts that taxation level is a function of trade</w:t>
      </w:r>
      <w:r w:rsidR="00882ED7" w:rsidRPr="00D9330B">
        <w:rPr>
          <w:rFonts w:ascii="Times New Roman" w:hAnsi="Times New Roman" w:cs="Times New Roman"/>
          <w:sz w:val="24"/>
          <w:szCs w:val="24"/>
          <w:lang w:val="en-GB"/>
        </w:rPr>
        <w:t xml:space="preserve"> openness because</w:t>
      </w:r>
      <w:r w:rsidR="001D5F4F" w:rsidRPr="00D9330B">
        <w:rPr>
          <w:rFonts w:ascii="Times New Roman" w:hAnsi="Times New Roman" w:cs="Times New Roman"/>
          <w:sz w:val="24"/>
          <w:szCs w:val="24"/>
          <w:lang w:val="en-GB"/>
        </w:rPr>
        <w:t xml:space="preserve"> open economies are more vulnerable to external shocks and are thus pressured to develop extensive social safety nets, which require revenues.</w:t>
      </w:r>
      <w:r w:rsidR="001D5F4F" w:rsidRPr="00D9330B">
        <w:rPr>
          <w:rStyle w:val="FootnoteReference"/>
          <w:rFonts w:ascii="Times New Roman" w:hAnsi="Times New Roman" w:cs="Times New Roman"/>
          <w:sz w:val="24"/>
          <w:szCs w:val="24"/>
          <w:lang w:val="en-GB"/>
        </w:rPr>
        <w:footnoteReference w:id="19"/>
      </w:r>
      <w:r w:rsidR="001D5F4F" w:rsidRPr="00D9330B">
        <w:rPr>
          <w:rFonts w:ascii="Times New Roman" w:hAnsi="Times New Roman" w:cs="Times New Roman"/>
          <w:sz w:val="24"/>
          <w:szCs w:val="24"/>
          <w:lang w:val="en-GB"/>
        </w:rPr>
        <w:t xml:space="preserve"> Once again, the theory’s prediction contrasts </w:t>
      </w:r>
      <w:r w:rsidR="002C7DC4" w:rsidRPr="00D9330B">
        <w:rPr>
          <w:rFonts w:ascii="Times New Roman" w:hAnsi="Times New Roman" w:cs="Times New Roman"/>
          <w:sz w:val="24"/>
          <w:szCs w:val="24"/>
          <w:lang w:val="en-GB"/>
        </w:rPr>
        <w:t>with reality in this case, given that</w:t>
      </w:r>
      <w:r w:rsidR="001D5F4F" w:rsidRPr="00D9330B">
        <w:rPr>
          <w:rFonts w:ascii="Times New Roman" w:hAnsi="Times New Roman" w:cs="Times New Roman"/>
          <w:sz w:val="24"/>
          <w:szCs w:val="24"/>
          <w:lang w:val="en-GB"/>
        </w:rPr>
        <w:t xml:space="preserve"> Brazil has one of the least trade-intensive economies in the region.</w:t>
      </w:r>
      <w:r w:rsidR="001D5F4F" w:rsidRPr="00D9330B">
        <w:rPr>
          <w:rStyle w:val="FootnoteReference"/>
          <w:rFonts w:ascii="Times New Roman" w:hAnsi="Times New Roman" w:cs="Times New Roman"/>
          <w:sz w:val="24"/>
          <w:szCs w:val="24"/>
          <w:lang w:val="en-GB"/>
        </w:rPr>
        <w:footnoteReference w:id="20"/>
      </w:r>
    </w:p>
    <w:p w:rsidR="001A7686" w:rsidRPr="00D9330B" w:rsidRDefault="001A7686" w:rsidP="001A7686">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r>
      <w:r w:rsidR="00882ED7" w:rsidRPr="00D9330B">
        <w:rPr>
          <w:rFonts w:ascii="Times New Roman" w:hAnsi="Times New Roman" w:cs="Times New Roman"/>
          <w:sz w:val="24"/>
          <w:szCs w:val="24"/>
          <w:lang w:val="en-GB"/>
        </w:rPr>
        <w:t>Finally, with regard to economic variables, it has been</w:t>
      </w:r>
      <w:r w:rsidR="005F274F" w:rsidRPr="00D9330B">
        <w:rPr>
          <w:rFonts w:ascii="Times New Roman" w:hAnsi="Times New Roman" w:cs="Times New Roman"/>
          <w:sz w:val="24"/>
          <w:szCs w:val="24"/>
          <w:lang w:val="en-GB"/>
        </w:rPr>
        <w:t xml:space="preserve"> noted that inflation may</w:t>
      </w:r>
      <w:r w:rsidR="00832065" w:rsidRPr="00D9330B">
        <w:rPr>
          <w:rFonts w:ascii="Times New Roman" w:hAnsi="Times New Roman" w:cs="Times New Roman"/>
          <w:sz w:val="24"/>
          <w:szCs w:val="24"/>
          <w:lang w:val="en-GB"/>
        </w:rPr>
        <w:t xml:space="preserve"> serve as a</w:t>
      </w:r>
      <w:r w:rsidR="001A7098" w:rsidRPr="00D9330B">
        <w:rPr>
          <w:rFonts w:ascii="Times New Roman" w:hAnsi="Times New Roman" w:cs="Times New Roman"/>
          <w:sz w:val="24"/>
          <w:szCs w:val="24"/>
          <w:lang w:val="en-GB"/>
        </w:rPr>
        <w:t xml:space="preserve"> substitute for taxation</w:t>
      </w:r>
      <w:r w:rsidR="00683839" w:rsidRPr="00D9330B">
        <w:rPr>
          <w:rFonts w:ascii="Times New Roman" w:hAnsi="Times New Roman" w:cs="Times New Roman"/>
          <w:sz w:val="24"/>
          <w:szCs w:val="24"/>
          <w:lang w:val="en-GB"/>
        </w:rPr>
        <w:t>,</w:t>
      </w:r>
      <w:r w:rsidR="00742CA0" w:rsidRPr="00D9330B">
        <w:rPr>
          <w:rFonts w:ascii="Times New Roman" w:hAnsi="Times New Roman" w:cs="Times New Roman"/>
          <w:sz w:val="24"/>
          <w:szCs w:val="24"/>
          <w:lang w:val="en-GB"/>
        </w:rPr>
        <w:t xml:space="preserve"> in</w:t>
      </w:r>
      <w:r w:rsidR="001A7098" w:rsidRPr="00D9330B">
        <w:rPr>
          <w:rFonts w:ascii="Times New Roman" w:hAnsi="Times New Roman" w:cs="Times New Roman"/>
          <w:sz w:val="24"/>
          <w:szCs w:val="24"/>
          <w:lang w:val="en-GB"/>
        </w:rPr>
        <w:t xml:space="preserve"> that </w:t>
      </w:r>
      <w:r w:rsidR="005F7382" w:rsidRPr="00D9330B">
        <w:rPr>
          <w:rFonts w:ascii="Times New Roman" w:hAnsi="Times New Roman" w:cs="Times New Roman"/>
          <w:sz w:val="24"/>
          <w:szCs w:val="24"/>
          <w:lang w:val="en-GB"/>
        </w:rPr>
        <w:t>governments print money to</w:t>
      </w:r>
      <w:r w:rsidR="001A7098" w:rsidRPr="00D9330B">
        <w:rPr>
          <w:rFonts w:ascii="Times New Roman" w:hAnsi="Times New Roman" w:cs="Times New Roman"/>
          <w:sz w:val="24"/>
          <w:szCs w:val="24"/>
          <w:lang w:val="en-GB"/>
        </w:rPr>
        <w:t xml:space="preserve"> </w:t>
      </w:r>
      <w:r w:rsidR="00B76183" w:rsidRPr="00D9330B">
        <w:rPr>
          <w:rFonts w:ascii="Times New Roman" w:hAnsi="Times New Roman" w:cs="Times New Roman"/>
          <w:sz w:val="24"/>
          <w:szCs w:val="24"/>
          <w:lang w:val="en-GB"/>
        </w:rPr>
        <w:t xml:space="preserve">cover </w:t>
      </w:r>
      <w:r w:rsidR="001A7098" w:rsidRPr="00D9330B">
        <w:rPr>
          <w:rFonts w:ascii="Times New Roman" w:hAnsi="Times New Roman" w:cs="Times New Roman"/>
          <w:sz w:val="24"/>
          <w:szCs w:val="24"/>
          <w:lang w:val="en-GB"/>
        </w:rPr>
        <w:t>fiscal deficit</w:t>
      </w:r>
      <w:r w:rsidR="005F7382" w:rsidRPr="00D9330B">
        <w:rPr>
          <w:rFonts w:ascii="Times New Roman" w:hAnsi="Times New Roman" w:cs="Times New Roman"/>
          <w:sz w:val="24"/>
          <w:szCs w:val="24"/>
          <w:lang w:val="en-GB"/>
        </w:rPr>
        <w:t>s</w:t>
      </w:r>
      <w:r w:rsidR="001A7098" w:rsidRPr="00D9330B">
        <w:rPr>
          <w:rFonts w:ascii="Times New Roman" w:hAnsi="Times New Roman" w:cs="Times New Roman"/>
          <w:sz w:val="24"/>
          <w:szCs w:val="24"/>
          <w:lang w:val="en-GB"/>
        </w:rPr>
        <w:t xml:space="preserve"> and consume</w:t>
      </w:r>
      <w:r w:rsidR="00872C1D" w:rsidRPr="00D9330B">
        <w:rPr>
          <w:rFonts w:ascii="Times New Roman" w:hAnsi="Times New Roman" w:cs="Times New Roman"/>
          <w:sz w:val="24"/>
          <w:szCs w:val="24"/>
          <w:lang w:val="en-GB"/>
        </w:rPr>
        <w:t>rs pay</w:t>
      </w:r>
      <w:r w:rsidR="001A7098" w:rsidRPr="00D9330B">
        <w:rPr>
          <w:rFonts w:ascii="Times New Roman" w:hAnsi="Times New Roman" w:cs="Times New Roman"/>
          <w:sz w:val="24"/>
          <w:szCs w:val="24"/>
          <w:lang w:val="en-GB"/>
        </w:rPr>
        <w:t xml:space="preserve"> the bill in the form of high</w:t>
      </w:r>
      <w:r w:rsidR="00683839" w:rsidRPr="00D9330B">
        <w:rPr>
          <w:rFonts w:ascii="Times New Roman" w:hAnsi="Times New Roman" w:cs="Times New Roman"/>
          <w:sz w:val="24"/>
          <w:szCs w:val="24"/>
          <w:lang w:val="en-GB"/>
        </w:rPr>
        <w:t>er prices</w:t>
      </w:r>
      <w:r w:rsidR="001A7098" w:rsidRPr="00D9330B">
        <w:rPr>
          <w:rFonts w:ascii="Times New Roman" w:hAnsi="Times New Roman" w:cs="Times New Roman"/>
          <w:sz w:val="24"/>
          <w:szCs w:val="24"/>
          <w:lang w:val="en-GB"/>
        </w:rPr>
        <w:t>.</w:t>
      </w:r>
      <w:r w:rsidR="00BF470D" w:rsidRPr="00D9330B">
        <w:rPr>
          <w:rFonts w:ascii="Times New Roman" w:hAnsi="Times New Roman" w:cs="Times New Roman"/>
          <w:sz w:val="24"/>
          <w:szCs w:val="24"/>
          <w:lang w:val="en-GB"/>
        </w:rPr>
        <w:t xml:space="preserve"> In Latin America, use of the</w:t>
      </w:r>
      <w:r w:rsidR="009A7189" w:rsidRPr="00D9330B">
        <w:rPr>
          <w:rFonts w:ascii="Times New Roman" w:hAnsi="Times New Roman" w:cs="Times New Roman"/>
          <w:sz w:val="24"/>
          <w:szCs w:val="24"/>
          <w:lang w:val="en-GB"/>
        </w:rPr>
        <w:t xml:space="preserve"> ‘</w:t>
      </w:r>
      <w:r w:rsidR="001A7098" w:rsidRPr="00D9330B">
        <w:rPr>
          <w:rFonts w:ascii="Times New Roman" w:hAnsi="Times New Roman" w:cs="Times New Roman"/>
          <w:sz w:val="24"/>
          <w:szCs w:val="24"/>
          <w:lang w:val="en-GB"/>
        </w:rPr>
        <w:t>infl</w:t>
      </w:r>
      <w:r w:rsidR="00BF470D" w:rsidRPr="00D9330B">
        <w:rPr>
          <w:rFonts w:ascii="Times New Roman" w:hAnsi="Times New Roman" w:cs="Times New Roman"/>
          <w:sz w:val="24"/>
          <w:szCs w:val="24"/>
          <w:lang w:val="en-GB"/>
        </w:rPr>
        <w:t>ation t</w:t>
      </w:r>
      <w:r w:rsidR="009A7189" w:rsidRPr="00D9330B">
        <w:rPr>
          <w:rFonts w:ascii="Times New Roman" w:hAnsi="Times New Roman" w:cs="Times New Roman"/>
          <w:sz w:val="24"/>
          <w:szCs w:val="24"/>
          <w:lang w:val="en-GB"/>
        </w:rPr>
        <w:t>ax’</w:t>
      </w:r>
      <w:r w:rsidR="00832065" w:rsidRPr="00D9330B">
        <w:rPr>
          <w:rFonts w:ascii="Times New Roman" w:hAnsi="Times New Roman" w:cs="Times New Roman"/>
          <w:sz w:val="24"/>
          <w:szCs w:val="24"/>
          <w:lang w:val="en-GB"/>
        </w:rPr>
        <w:t xml:space="preserve"> has been</w:t>
      </w:r>
      <w:r w:rsidR="00583B55" w:rsidRPr="00D9330B">
        <w:rPr>
          <w:rFonts w:ascii="Times New Roman" w:hAnsi="Times New Roman" w:cs="Times New Roman"/>
          <w:sz w:val="24"/>
          <w:szCs w:val="24"/>
          <w:lang w:val="en-GB"/>
        </w:rPr>
        <w:t xml:space="preserve"> common</w:t>
      </w:r>
      <w:r w:rsidR="001A7098" w:rsidRPr="00D9330B">
        <w:rPr>
          <w:rFonts w:ascii="Times New Roman" w:hAnsi="Times New Roman" w:cs="Times New Roman"/>
          <w:sz w:val="24"/>
          <w:szCs w:val="24"/>
          <w:lang w:val="en-GB"/>
        </w:rPr>
        <w:t>.</w:t>
      </w:r>
      <w:r w:rsidR="00583B55" w:rsidRPr="00D9330B">
        <w:rPr>
          <w:rStyle w:val="FootnoteReference"/>
          <w:rFonts w:ascii="Times New Roman" w:hAnsi="Times New Roman" w:cs="Times New Roman"/>
          <w:sz w:val="24"/>
          <w:szCs w:val="24"/>
          <w:lang w:val="en-GB"/>
        </w:rPr>
        <w:footnoteReference w:id="21"/>
      </w:r>
      <w:r w:rsidR="00E67F7D" w:rsidRPr="00D9330B">
        <w:rPr>
          <w:rFonts w:ascii="Times New Roman" w:hAnsi="Times New Roman" w:cs="Times New Roman"/>
          <w:sz w:val="24"/>
          <w:szCs w:val="24"/>
          <w:lang w:val="en-GB"/>
        </w:rPr>
        <w:t xml:space="preserve"> </w:t>
      </w:r>
      <w:r w:rsidR="00BD7E4E" w:rsidRPr="00D9330B">
        <w:rPr>
          <w:rFonts w:ascii="Times New Roman" w:hAnsi="Times New Roman" w:cs="Times New Roman"/>
          <w:sz w:val="24"/>
          <w:szCs w:val="24"/>
          <w:lang w:val="en-GB"/>
        </w:rPr>
        <w:t>It is clear</w:t>
      </w:r>
      <w:r w:rsidR="00E32960" w:rsidRPr="00D9330B">
        <w:rPr>
          <w:rFonts w:ascii="Times New Roman" w:hAnsi="Times New Roman" w:cs="Times New Roman"/>
          <w:sz w:val="24"/>
          <w:szCs w:val="24"/>
          <w:lang w:val="en-GB"/>
        </w:rPr>
        <w:t>, moreover,</w:t>
      </w:r>
      <w:r w:rsidR="00FD2CF5" w:rsidRPr="00D9330B">
        <w:rPr>
          <w:rFonts w:ascii="Times New Roman" w:hAnsi="Times New Roman" w:cs="Times New Roman"/>
          <w:sz w:val="24"/>
          <w:szCs w:val="24"/>
          <w:lang w:val="en-GB"/>
        </w:rPr>
        <w:t xml:space="preserve"> that the ‘Real Plan’ stabilis</w:t>
      </w:r>
      <w:r w:rsidR="00BD7E4E" w:rsidRPr="00D9330B">
        <w:rPr>
          <w:rFonts w:ascii="Times New Roman" w:hAnsi="Times New Roman" w:cs="Times New Roman"/>
          <w:sz w:val="24"/>
          <w:szCs w:val="24"/>
          <w:lang w:val="en-GB"/>
        </w:rPr>
        <w:t>ation program</w:t>
      </w:r>
      <w:r w:rsidR="00A93F08">
        <w:rPr>
          <w:rFonts w:ascii="Times New Roman" w:hAnsi="Times New Roman" w:cs="Times New Roman"/>
          <w:sz w:val="24"/>
          <w:szCs w:val="24"/>
          <w:lang w:val="en-GB"/>
        </w:rPr>
        <w:t>me</w:t>
      </w:r>
      <w:r w:rsidR="00BD7E4E" w:rsidRPr="00D9330B">
        <w:rPr>
          <w:rFonts w:ascii="Times New Roman" w:hAnsi="Times New Roman" w:cs="Times New Roman"/>
          <w:sz w:val="24"/>
          <w:szCs w:val="24"/>
          <w:lang w:val="en-GB"/>
        </w:rPr>
        <w:t xml:space="preserve"> adopted in 1994 helped boost </w:t>
      </w:r>
      <w:r w:rsidR="000A414D" w:rsidRPr="00D9330B">
        <w:rPr>
          <w:rFonts w:ascii="Times New Roman" w:hAnsi="Times New Roman" w:cs="Times New Roman"/>
          <w:sz w:val="24"/>
          <w:szCs w:val="24"/>
          <w:lang w:val="en-GB"/>
        </w:rPr>
        <w:t>Brazil’s tax revenues by</w:t>
      </w:r>
      <w:r w:rsidR="00BD7E4E" w:rsidRPr="00D9330B">
        <w:rPr>
          <w:rFonts w:ascii="Times New Roman" w:hAnsi="Times New Roman" w:cs="Times New Roman"/>
          <w:sz w:val="24"/>
          <w:szCs w:val="24"/>
          <w:lang w:val="en-GB"/>
        </w:rPr>
        <w:t xml:space="preserve"> reducing inflation.</w:t>
      </w:r>
      <w:r w:rsidR="00BD7E4E" w:rsidRPr="00D9330B">
        <w:rPr>
          <w:rStyle w:val="FootnoteReference"/>
          <w:rFonts w:ascii="Times New Roman" w:hAnsi="Times New Roman" w:cs="Times New Roman"/>
          <w:sz w:val="24"/>
          <w:szCs w:val="24"/>
          <w:lang w:val="en-GB"/>
        </w:rPr>
        <w:footnoteReference w:id="22"/>
      </w:r>
      <w:r w:rsidR="00BD7E4E" w:rsidRPr="00D9330B">
        <w:rPr>
          <w:rFonts w:ascii="Times New Roman" w:hAnsi="Times New Roman" w:cs="Times New Roman"/>
          <w:sz w:val="24"/>
          <w:szCs w:val="24"/>
          <w:lang w:val="en-GB"/>
        </w:rPr>
        <w:t xml:space="preserve"> However,</w:t>
      </w:r>
      <w:r w:rsidR="00E67F7D" w:rsidRPr="00D9330B">
        <w:rPr>
          <w:rFonts w:ascii="Times New Roman" w:hAnsi="Times New Roman" w:cs="Times New Roman"/>
          <w:sz w:val="24"/>
          <w:szCs w:val="24"/>
          <w:lang w:val="en-GB"/>
        </w:rPr>
        <w:t xml:space="preserve"> t</w:t>
      </w:r>
      <w:r w:rsidR="00821709" w:rsidRPr="00D9330B">
        <w:rPr>
          <w:rFonts w:ascii="Times New Roman" w:hAnsi="Times New Roman" w:cs="Times New Roman"/>
          <w:sz w:val="24"/>
          <w:szCs w:val="24"/>
          <w:lang w:val="en-GB"/>
        </w:rPr>
        <w:t>his variable sheds little</w:t>
      </w:r>
      <w:r w:rsidR="00BD7E4E" w:rsidRPr="00D9330B">
        <w:rPr>
          <w:rFonts w:ascii="Times New Roman" w:hAnsi="Times New Roman" w:cs="Times New Roman"/>
          <w:sz w:val="24"/>
          <w:szCs w:val="24"/>
          <w:lang w:val="en-GB"/>
        </w:rPr>
        <w:t xml:space="preserve"> </w:t>
      </w:r>
      <w:r w:rsidR="00E67F7D" w:rsidRPr="00D9330B">
        <w:rPr>
          <w:rFonts w:ascii="Times New Roman" w:hAnsi="Times New Roman" w:cs="Times New Roman"/>
          <w:sz w:val="24"/>
          <w:szCs w:val="24"/>
          <w:lang w:val="en-GB"/>
        </w:rPr>
        <w:t>light on Brazil’s exception</w:t>
      </w:r>
      <w:r w:rsidR="00C94F31" w:rsidRPr="00D9330B">
        <w:rPr>
          <w:rFonts w:ascii="Times New Roman" w:hAnsi="Times New Roman" w:cs="Times New Roman"/>
          <w:sz w:val="24"/>
          <w:szCs w:val="24"/>
          <w:lang w:val="en-GB"/>
        </w:rPr>
        <w:t>ally heavy tax burden</w:t>
      </w:r>
      <w:r w:rsidR="00BD7E4E" w:rsidRPr="00D9330B">
        <w:rPr>
          <w:rFonts w:ascii="Times New Roman" w:hAnsi="Times New Roman" w:cs="Times New Roman"/>
          <w:sz w:val="24"/>
          <w:szCs w:val="24"/>
          <w:lang w:val="en-GB"/>
        </w:rPr>
        <w:t xml:space="preserve"> today</w:t>
      </w:r>
      <w:r w:rsidR="00381845" w:rsidRPr="00D9330B">
        <w:rPr>
          <w:rFonts w:ascii="Times New Roman" w:hAnsi="Times New Roman" w:cs="Times New Roman"/>
          <w:sz w:val="24"/>
          <w:szCs w:val="24"/>
          <w:lang w:val="en-GB"/>
        </w:rPr>
        <w:t>,</w:t>
      </w:r>
      <w:r w:rsidR="00D22E1A" w:rsidRPr="00D9330B">
        <w:rPr>
          <w:rFonts w:ascii="Times New Roman" w:hAnsi="Times New Roman" w:cs="Times New Roman"/>
          <w:sz w:val="24"/>
          <w:szCs w:val="24"/>
          <w:lang w:val="en-GB"/>
        </w:rPr>
        <w:t xml:space="preserve"> since</w:t>
      </w:r>
      <w:r w:rsidR="00E67F7D" w:rsidRPr="00D9330B">
        <w:rPr>
          <w:rFonts w:ascii="Times New Roman" w:hAnsi="Times New Roman" w:cs="Times New Roman"/>
          <w:sz w:val="24"/>
          <w:szCs w:val="24"/>
          <w:lang w:val="en-GB"/>
        </w:rPr>
        <w:t xml:space="preserve"> Brazil’s inflation ove</w:t>
      </w:r>
      <w:r w:rsidR="00821709" w:rsidRPr="00D9330B">
        <w:rPr>
          <w:rFonts w:ascii="Times New Roman" w:hAnsi="Times New Roman" w:cs="Times New Roman"/>
          <w:sz w:val="24"/>
          <w:szCs w:val="24"/>
          <w:lang w:val="en-GB"/>
        </w:rPr>
        <w:t>r the last decade has been roughly</w:t>
      </w:r>
      <w:r w:rsidR="00BA4EE7" w:rsidRPr="00D9330B">
        <w:rPr>
          <w:rFonts w:ascii="Times New Roman" w:hAnsi="Times New Roman" w:cs="Times New Roman"/>
          <w:sz w:val="24"/>
          <w:szCs w:val="24"/>
          <w:lang w:val="en-GB"/>
        </w:rPr>
        <w:t xml:space="preserve"> average for the</w:t>
      </w:r>
      <w:r w:rsidR="00C94F31" w:rsidRPr="00D9330B">
        <w:rPr>
          <w:rFonts w:ascii="Times New Roman" w:hAnsi="Times New Roman" w:cs="Times New Roman"/>
          <w:sz w:val="24"/>
          <w:szCs w:val="24"/>
          <w:lang w:val="en-GB"/>
        </w:rPr>
        <w:t xml:space="preserve"> </w:t>
      </w:r>
      <w:r w:rsidR="00E67F7D" w:rsidRPr="00D9330B">
        <w:rPr>
          <w:rFonts w:ascii="Times New Roman" w:hAnsi="Times New Roman" w:cs="Times New Roman"/>
          <w:sz w:val="24"/>
          <w:szCs w:val="24"/>
          <w:lang w:val="en-GB"/>
        </w:rPr>
        <w:t>region.</w:t>
      </w:r>
      <w:r w:rsidR="00821709" w:rsidRPr="00D9330B">
        <w:rPr>
          <w:rStyle w:val="FootnoteReference"/>
          <w:rFonts w:ascii="Times New Roman" w:hAnsi="Times New Roman" w:cs="Times New Roman"/>
          <w:sz w:val="24"/>
          <w:szCs w:val="24"/>
          <w:lang w:val="en-GB"/>
        </w:rPr>
        <w:footnoteReference w:id="23"/>
      </w:r>
    </w:p>
    <w:p w:rsidR="001D5F4F" w:rsidRPr="00D9330B" w:rsidRDefault="001D5F4F" w:rsidP="001D5F4F">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lastRenderedPageBreak/>
        <w:t xml:space="preserve">There is also a substantial literature that relates differences in taxation </w:t>
      </w:r>
      <w:r w:rsidR="009A6CCC" w:rsidRPr="00D9330B">
        <w:rPr>
          <w:rFonts w:ascii="Times New Roman" w:hAnsi="Times New Roman" w:cs="Times New Roman"/>
          <w:sz w:val="24"/>
          <w:szCs w:val="24"/>
          <w:lang w:val="en-GB"/>
        </w:rPr>
        <w:t>and spending to</w:t>
      </w:r>
      <w:r w:rsidRPr="00D9330B">
        <w:rPr>
          <w:rFonts w:ascii="Times New Roman" w:hAnsi="Times New Roman" w:cs="Times New Roman"/>
          <w:sz w:val="24"/>
          <w:szCs w:val="24"/>
          <w:lang w:val="en-GB"/>
        </w:rPr>
        <w:t xml:space="preserve"> political</w:t>
      </w:r>
      <w:r w:rsidR="009A7189" w:rsidRPr="00D9330B">
        <w:rPr>
          <w:rFonts w:ascii="Times New Roman" w:hAnsi="Times New Roman" w:cs="Times New Roman"/>
          <w:sz w:val="24"/>
          <w:szCs w:val="24"/>
          <w:lang w:val="en-GB"/>
        </w:rPr>
        <w:t xml:space="preserve"> institutions. Some of it</w:t>
      </w:r>
      <w:r w:rsidRPr="00D9330B">
        <w:rPr>
          <w:rFonts w:ascii="Times New Roman" w:hAnsi="Times New Roman" w:cs="Times New Roman"/>
          <w:sz w:val="24"/>
          <w:szCs w:val="24"/>
          <w:lang w:val="en-GB"/>
        </w:rPr>
        <w:t xml:space="preserve"> highlights variables on which Brazil does not differ significantly from most other countries in Latin America, </w:t>
      </w:r>
      <w:r w:rsidR="002E3632" w:rsidRPr="00D9330B">
        <w:rPr>
          <w:rFonts w:ascii="Times New Roman" w:hAnsi="Times New Roman" w:cs="Times New Roman"/>
          <w:sz w:val="24"/>
          <w:szCs w:val="24"/>
          <w:lang w:val="en-GB"/>
        </w:rPr>
        <w:t>such as</w:t>
      </w:r>
      <w:r w:rsidR="00457572" w:rsidRPr="00D9330B">
        <w:rPr>
          <w:rFonts w:ascii="Times New Roman" w:hAnsi="Times New Roman" w:cs="Times New Roman"/>
          <w:sz w:val="24"/>
          <w:szCs w:val="24"/>
          <w:lang w:val="en-GB"/>
        </w:rPr>
        <w:t xml:space="preserve"> </w:t>
      </w:r>
      <w:proofErr w:type="spellStart"/>
      <w:r w:rsidR="00457572" w:rsidRPr="00D9330B">
        <w:rPr>
          <w:rFonts w:ascii="Times New Roman" w:hAnsi="Times New Roman" w:cs="Times New Roman"/>
          <w:sz w:val="24"/>
          <w:szCs w:val="24"/>
          <w:lang w:val="en-GB"/>
        </w:rPr>
        <w:t>presidentialism</w:t>
      </w:r>
      <w:proofErr w:type="spellEnd"/>
      <w:r w:rsidRPr="00D9330B">
        <w:rPr>
          <w:rFonts w:ascii="Times New Roman" w:hAnsi="Times New Roman" w:cs="Times New Roman"/>
          <w:sz w:val="24"/>
          <w:szCs w:val="24"/>
          <w:lang w:val="en-GB"/>
        </w:rPr>
        <w:t xml:space="preserve"> or</w:t>
      </w:r>
      <w:r w:rsidR="00E17570" w:rsidRPr="00D9330B">
        <w:rPr>
          <w:rFonts w:ascii="Times New Roman" w:hAnsi="Times New Roman" w:cs="Times New Roman"/>
          <w:sz w:val="24"/>
          <w:szCs w:val="24"/>
          <w:lang w:val="en-GB"/>
        </w:rPr>
        <w:t xml:space="preserve"> the</w:t>
      </w:r>
      <w:r w:rsidRPr="00D9330B">
        <w:rPr>
          <w:rFonts w:ascii="Times New Roman" w:hAnsi="Times New Roman" w:cs="Times New Roman"/>
          <w:sz w:val="24"/>
          <w:szCs w:val="24"/>
          <w:lang w:val="en-GB"/>
        </w:rPr>
        <w:t xml:space="preserve"> electoral system. Brazil does stand out with regard to another institutional variable, federalism. However, s</w:t>
      </w:r>
      <w:r w:rsidR="009073A4" w:rsidRPr="00D9330B">
        <w:rPr>
          <w:rFonts w:ascii="Times New Roman" w:hAnsi="Times New Roman" w:cs="Times New Roman"/>
          <w:sz w:val="24"/>
          <w:szCs w:val="24"/>
          <w:lang w:val="en-GB"/>
        </w:rPr>
        <w:t>cholars have usually</w:t>
      </w:r>
      <w:r w:rsidRPr="00D9330B">
        <w:rPr>
          <w:rFonts w:ascii="Times New Roman" w:hAnsi="Times New Roman" w:cs="Times New Roman"/>
          <w:sz w:val="24"/>
          <w:szCs w:val="24"/>
          <w:lang w:val="en-GB"/>
        </w:rPr>
        <w:t xml:space="preserve"> maintained that robust federalism leads to low taxation,</w:t>
      </w:r>
      <w:r w:rsidRPr="00D9330B">
        <w:rPr>
          <w:rStyle w:val="FootnoteReference"/>
          <w:rFonts w:ascii="Times New Roman" w:hAnsi="Times New Roman" w:cs="Times New Roman"/>
          <w:sz w:val="24"/>
          <w:szCs w:val="24"/>
          <w:lang w:val="en-GB"/>
        </w:rPr>
        <w:t xml:space="preserve"> </w:t>
      </w:r>
      <w:r w:rsidRPr="00D9330B">
        <w:rPr>
          <w:rStyle w:val="FootnoteReference"/>
          <w:rFonts w:ascii="Times New Roman" w:hAnsi="Times New Roman" w:cs="Times New Roman"/>
          <w:sz w:val="24"/>
          <w:szCs w:val="24"/>
          <w:lang w:val="en-GB"/>
        </w:rPr>
        <w:footnoteReference w:id="24"/>
      </w:r>
      <w:r w:rsidRPr="00D9330B">
        <w:rPr>
          <w:rFonts w:ascii="Times New Roman" w:hAnsi="Times New Roman" w:cs="Times New Roman"/>
          <w:sz w:val="24"/>
          <w:szCs w:val="24"/>
          <w:lang w:val="en-GB"/>
        </w:rPr>
        <w:t xml:space="preserve"> and </w:t>
      </w:r>
      <w:r w:rsidR="004A4A9B" w:rsidRPr="00D9330B">
        <w:rPr>
          <w:rFonts w:ascii="Times New Roman" w:hAnsi="Times New Roman" w:cs="Times New Roman"/>
          <w:sz w:val="24"/>
          <w:szCs w:val="24"/>
          <w:lang w:val="en-GB"/>
        </w:rPr>
        <w:t>Brazil is</w:t>
      </w:r>
      <w:r w:rsidR="008E3E9A">
        <w:rPr>
          <w:rFonts w:ascii="Times New Roman" w:hAnsi="Times New Roman" w:cs="Times New Roman"/>
          <w:sz w:val="24"/>
          <w:szCs w:val="24"/>
          <w:lang w:val="en-GB"/>
        </w:rPr>
        <w:t xml:space="preserve"> the most fiscally decentralis</w:t>
      </w:r>
      <w:r w:rsidRPr="00D9330B">
        <w:rPr>
          <w:rFonts w:ascii="Times New Roman" w:hAnsi="Times New Roman" w:cs="Times New Roman"/>
          <w:sz w:val="24"/>
          <w:szCs w:val="24"/>
          <w:lang w:val="en-GB"/>
        </w:rPr>
        <w:t>ed country in Latin America. Stein argues that decentralisation is associated with larger public sectors in Latin America, mainly because subnational governments often generate little revenue of their own and thus become a burden on the national budget.</w:t>
      </w:r>
      <w:r w:rsidR="0083739D" w:rsidRPr="00D9330B">
        <w:rPr>
          <w:rFonts w:ascii="Times New Roman" w:hAnsi="Times New Roman" w:cs="Times New Roman"/>
          <w:sz w:val="24"/>
          <w:szCs w:val="24"/>
          <w:lang w:val="en-GB"/>
        </w:rPr>
        <w:t xml:space="preserve"> However,</w:t>
      </w:r>
      <w:r w:rsidRPr="00D9330B">
        <w:rPr>
          <w:rFonts w:ascii="Times New Roman" w:hAnsi="Times New Roman" w:cs="Times New Roman"/>
          <w:sz w:val="24"/>
          <w:szCs w:val="24"/>
          <w:lang w:val="en-GB"/>
        </w:rPr>
        <w:t xml:space="preserve"> this ‘vertical fiscal imbalance’ is in fact relatively modest in the Brazilian case.</w:t>
      </w:r>
      <w:r w:rsidRPr="00D9330B">
        <w:rPr>
          <w:rStyle w:val="FootnoteReference"/>
          <w:rFonts w:ascii="Times New Roman" w:hAnsi="Times New Roman" w:cs="Times New Roman"/>
          <w:sz w:val="24"/>
          <w:szCs w:val="24"/>
          <w:lang w:val="en-GB"/>
        </w:rPr>
        <w:footnoteReference w:id="25"/>
      </w:r>
      <w:r w:rsidRPr="00D9330B">
        <w:rPr>
          <w:rFonts w:ascii="Times New Roman" w:hAnsi="Times New Roman" w:cs="Times New Roman"/>
          <w:sz w:val="24"/>
          <w:szCs w:val="24"/>
          <w:lang w:val="en-GB"/>
        </w:rPr>
        <w:t xml:space="preserve"> Brazil’s subnational governments not only account for a larger proportion of total spending than in most other countries, but they also obtain much more of their revenue from their own taxes, rather than transfers.</w:t>
      </w:r>
      <w:r w:rsidRPr="00D9330B">
        <w:rPr>
          <w:rStyle w:val="FootnoteReference"/>
          <w:rFonts w:ascii="Times New Roman" w:hAnsi="Times New Roman" w:cs="Times New Roman"/>
          <w:sz w:val="24"/>
          <w:szCs w:val="24"/>
          <w:lang w:val="en-GB"/>
        </w:rPr>
        <w:footnoteReference w:id="26"/>
      </w:r>
    </w:p>
    <w:p w:rsidR="001D5F4F" w:rsidRPr="00D9330B" w:rsidRDefault="001D5F4F" w:rsidP="001D5F4F">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Anoth</w:t>
      </w:r>
      <w:r w:rsidR="00882ED7" w:rsidRPr="00D9330B">
        <w:rPr>
          <w:rFonts w:ascii="Times New Roman" w:hAnsi="Times New Roman" w:cs="Times New Roman"/>
          <w:sz w:val="24"/>
          <w:szCs w:val="24"/>
          <w:lang w:val="en-GB"/>
        </w:rPr>
        <w:t>er institutional perspective</w:t>
      </w:r>
      <w:r w:rsidRPr="00D9330B">
        <w:rPr>
          <w:rFonts w:ascii="Times New Roman" w:hAnsi="Times New Roman" w:cs="Times New Roman"/>
          <w:sz w:val="24"/>
          <w:szCs w:val="24"/>
          <w:lang w:val="en-GB"/>
        </w:rPr>
        <w:t xml:space="preserve"> </w:t>
      </w:r>
      <w:r w:rsidR="00882ED7" w:rsidRPr="00D9330B">
        <w:rPr>
          <w:rFonts w:ascii="Times New Roman" w:hAnsi="Times New Roman" w:cs="Times New Roman"/>
          <w:sz w:val="24"/>
          <w:szCs w:val="24"/>
          <w:lang w:val="en-GB"/>
        </w:rPr>
        <w:t>relates the</w:t>
      </w:r>
      <w:r w:rsidRPr="00D9330B">
        <w:rPr>
          <w:rFonts w:ascii="Times New Roman" w:hAnsi="Times New Roman" w:cs="Times New Roman"/>
          <w:sz w:val="24"/>
          <w:szCs w:val="24"/>
          <w:lang w:val="en-GB"/>
        </w:rPr>
        <w:t xml:space="preserve"> size of th</w:t>
      </w:r>
      <w:r w:rsidR="00882ED7" w:rsidRPr="00D9330B">
        <w:rPr>
          <w:rFonts w:ascii="Times New Roman" w:hAnsi="Times New Roman" w:cs="Times New Roman"/>
          <w:sz w:val="24"/>
          <w:szCs w:val="24"/>
          <w:lang w:val="en-GB"/>
        </w:rPr>
        <w:t>e public sector to the nature of the political regime</w:t>
      </w:r>
      <w:r w:rsidRPr="00D9330B">
        <w:rPr>
          <w:rFonts w:ascii="Times New Roman" w:hAnsi="Times New Roman" w:cs="Times New Roman"/>
          <w:sz w:val="24"/>
          <w:szCs w:val="24"/>
          <w:lang w:val="en-GB"/>
        </w:rPr>
        <w:t xml:space="preserve">. There is a venerable tradition of arguing that democracy promotes equality by </w:t>
      </w:r>
      <w:r w:rsidRPr="00D9330B">
        <w:rPr>
          <w:rFonts w:ascii="Times New Roman" w:hAnsi="Times New Roman" w:cs="Times New Roman"/>
          <w:sz w:val="24"/>
          <w:szCs w:val="24"/>
          <w:lang w:val="en-GB"/>
        </w:rPr>
        <w:lastRenderedPageBreak/>
        <w:t>allowing the lo</w:t>
      </w:r>
      <w:r w:rsidR="00687461" w:rsidRPr="00D9330B">
        <w:rPr>
          <w:rFonts w:ascii="Times New Roman" w:hAnsi="Times New Roman" w:cs="Times New Roman"/>
          <w:sz w:val="24"/>
          <w:szCs w:val="24"/>
          <w:lang w:val="en-GB"/>
        </w:rPr>
        <w:t>wer classes</w:t>
      </w:r>
      <w:r w:rsidRPr="00D9330B">
        <w:rPr>
          <w:rFonts w:ascii="Times New Roman" w:hAnsi="Times New Roman" w:cs="Times New Roman"/>
          <w:sz w:val="24"/>
          <w:szCs w:val="24"/>
          <w:lang w:val="en-GB"/>
        </w:rPr>
        <w:t xml:space="preserve"> to press f</w:t>
      </w:r>
      <w:r w:rsidR="00304FBF" w:rsidRPr="00D9330B">
        <w:rPr>
          <w:rFonts w:ascii="Times New Roman" w:hAnsi="Times New Roman" w:cs="Times New Roman"/>
          <w:sz w:val="24"/>
          <w:szCs w:val="24"/>
          <w:lang w:val="en-GB"/>
        </w:rPr>
        <w:t>or redistribution, which</w:t>
      </w:r>
      <w:r w:rsidRPr="00D9330B">
        <w:rPr>
          <w:rFonts w:ascii="Times New Roman" w:hAnsi="Times New Roman" w:cs="Times New Roman"/>
          <w:sz w:val="24"/>
          <w:szCs w:val="24"/>
          <w:lang w:val="en-GB"/>
        </w:rPr>
        <w:t xml:space="preserve"> implies a larger state.</w:t>
      </w:r>
      <w:r w:rsidRPr="00D9330B">
        <w:rPr>
          <w:rStyle w:val="FootnoteReference"/>
          <w:rFonts w:ascii="Times New Roman" w:hAnsi="Times New Roman" w:cs="Times New Roman"/>
          <w:sz w:val="24"/>
          <w:szCs w:val="24"/>
          <w:lang w:val="en-GB"/>
        </w:rPr>
        <w:footnoteReference w:id="27"/>
      </w:r>
      <w:r w:rsidRPr="00D9330B">
        <w:rPr>
          <w:rFonts w:ascii="Times New Roman" w:hAnsi="Times New Roman" w:cs="Times New Roman"/>
          <w:sz w:val="24"/>
          <w:szCs w:val="24"/>
          <w:lang w:val="en-GB"/>
        </w:rPr>
        <w:t xml:space="preserve"> Here again, though, the</w:t>
      </w:r>
      <w:r w:rsidR="00304FBF" w:rsidRPr="00D9330B">
        <w:rPr>
          <w:rFonts w:ascii="Times New Roman" w:hAnsi="Times New Roman" w:cs="Times New Roman"/>
          <w:sz w:val="24"/>
          <w:szCs w:val="24"/>
          <w:lang w:val="en-GB"/>
        </w:rPr>
        <w:t xml:space="preserve"> theory provides little insight into</w:t>
      </w:r>
      <w:r w:rsidR="00882ED7" w:rsidRPr="00D9330B">
        <w:rPr>
          <w:rFonts w:ascii="Times New Roman" w:hAnsi="Times New Roman" w:cs="Times New Roman"/>
          <w:sz w:val="24"/>
          <w:szCs w:val="24"/>
          <w:lang w:val="en-GB"/>
        </w:rPr>
        <w:t xml:space="preserve"> this case</w:t>
      </w:r>
      <w:r w:rsidRPr="00D9330B">
        <w:rPr>
          <w:rFonts w:ascii="Times New Roman" w:hAnsi="Times New Roman" w:cs="Times New Roman"/>
          <w:sz w:val="24"/>
          <w:szCs w:val="24"/>
          <w:lang w:val="en-GB"/>
        </w:rPr>
        <w:t>. Brazil’s current democracy emerged at roughly the same time (during the 1980s) as that of several other countries in Latin America, including some with light taxation (e.g. the Dominican Republic) and some with</w:t>
      </w:r>
      <w:r w:rsidR="00A37CD2" w:rsidRPr="00D9330B">
        <w:rPr>
          <w:rFonts w:ascii="Times New Roman" w:hAnsi="Times New Roman" w:cs="Times New Roman"/>
          <w:sz w:val="24"/>
          <w:szCs w:val="24"/>
          <w:lang w:val="en-GB"/>
        </w:rPr>
        <w:t xml:space="preserve"> heavier</w:t>
      </w:r>
      <w:r w:rsidRPr="00D9330B">
        <w:rPr>
          <w:rFonts w:ascii="Times New Roman" w:hAnsi="Times New Roman" w:cs="Times New Roman"/>
          <w:sz w:val="24"/>
          <w:szCs w:val="24"/>
          <w:lang w:val="en-GB"/>
        </w:rPr>
        <w:t xml:space="preserve"> taxation (e.g., Argentina). Historically, moreover, Br</w:t>
      </w:r>
      <w:r w:rsidR="00457572" w:rsidRPr="00D9330B">
        <w:rPr>
          <w:rFonts w:ascii="Times New Roman" w:hAnsi="Times New Roman" w:cs="Times New Roman"/>
          <w:sz w:val="24"/>
          <w:szCs w:val="24"/>
          <w:lang w:val="en-GB"/>
        </w:rPr>
        <w:t>azil has not been</w:t>
      </w:r>
      <w:r w:rsidR="00ED36A7" w:rsidRPr="00D9330B">
        <w:rPr>
          <w:rFonts w:ascii="Times New Roman" w:hAnsi="Times New Roman" w:cs="Times New Roman"/>
          <w:sz w:val="24"/>
          <w:szCs w:val="24"/>
          <w:lang w:val="en-GB"/>
        </w:rPr>
        <w:t xml:space="preserve"> especially</w:t>
      </w:r>
      <w:r w:rsidR="00457572" w:rsidRPr="00D9330B">
        <w:rPr>
          <w:rFonts w:ascii="Times New Roman" w:hAnsi="Times New Roman" w:cs="Times New Roman"/>
          <w:sz w:val="24"/>
          <w:szCs w:val="24"/>
          <w:lang w:val="en-GB"/>
        </w:rPr>
        <w:t xml:space="preserve"> democratic</w:t>
      </w:r>
      <w:r w:rsidRPr="00D9330B">
        <w:rPr>
          <w:rFonts w:ascii="Times New Roman" w:hAnsi="Times New Roman" w:cs="Times New Roman"/>
          <w:sz w:val="24"/>
          <w:szCs w:val="24"/>
          <w:lang w:val="en-GB"/>
        </w:rPr>
        <w:t>, even by the modest standards of Latin America.</w:t>
      </w:r>
      <w:r w:rsidRPr="00D9330B">
        <w:rPr>
          <w:rStyle w:val="FootnoteReference"/>
          <w:rFonts w:ascii="Times New Roman" w:hAnsi="Times New Roman" w:cs="Times New Roman"/>
          <w:sz w:val="24"/>
          <w:szCs w:val="24"/>
          <w:lang w:val="en-GB"/>
        </w:rPr>
        <w:footnoteReference w:id="28"/>
      </w:r>
    </w:p>
    <w:p w:rsidR="00127CC2" w:rsidRPr="00D9330B" w:rsidRDefault="000C5CD6" w:rsidP="00127CC2">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 m</w:t>
      </w:r>
      <w:r w:rsidR="00E735BE" w:rsidRPr="00D9330B">
        <w:rPr>
          <w:rFonts w:ascii="Times New Roman" w:hAnsi="Times New Roman" w:cs="Times New Roman"/>
          <w:sz w:val="24"/>
          <w:szCs w:val="24"/>
          <w:lang w:val="en-GB"/>
        </w:rPr>
        <w:t>ore nuanced</w:t>
      </w:r>
      <w:r>
        <w:rPr>
          <w:rFonts w:ascii="Times New Roman" w:hAnsi="Times New Roman" w:cs="Times New Roman"/>
          <w:sz w:val="24"/>
          <w:szCs w:val="24"/>
          <w:lang w:val="en-GB"/>
        </w:rPr>
        <w:t xml:space="preserve"> version of this argument affirms that under democracy </w:t>
      </w:r>
      <w:r w:rsidR="001D5F4F" w:rsidRPr="00D9330B">
        <w:rPr>
          <w:rFonts w:ascii="Times New Roman" w:hAnsi="Times New Roman" w:cs="Times New Roman"/>
          <w:sz w:val="24"/>
          <w:szCs w:val="24"/>
          <w:lang w:val="en-GB"/>
        </w:rPr>
        <w:t>the level of taxation is positively correlated with income inequality</w:t>
      </w:r>
      <w:r w:rsidR="00104B63" w:rsidRPr="00D9330B">
        <w:rPr>
          <w:rFonts w:ascii="Times New Roman" w:hAnsi="Times New Roman" w:cs="Times New Roman"/>
          <w:sz w:val="24"/>
          <w:szCs w:val="24"/>
          <w:lang w:val="en-GB"/>
        </w:rPr>
        <w:t>,</w:t>
      </w:r>
      <w:r w:rsidR="001D5F4F" w:rsidRPr="00D9330B">
        <w:rPr>
          <w:rFonts w:ascii="Times New Roman" w:hAnsi="Times New Roman" w:cs="Times New Roman"/>
          <w:sz w:val="24"/>
          <w:szCs w:val="24"/>
          <w:lang w:val="en-GB"/>
        </w:rPr>
        <w:t xml:space="preserve"> because relatively poor people naturally desire more redis</w:t>
      </w:r>
      <w:r w:rsidR="008C2989">
        <w:rPr>
          <w:rFonts w:ascii="Times New Roman" w:hAnsi="Times New Roman" w:cs="Times New Roman"/>
          <w:sz w:val="24"/>
          <w:szCs w:val="24"/>
          <w:lang w:val="en-GB"/>
        </w:rPr>
        <w:t>tribution</w:t>
      </w:r>
      <w:r w:rsidR="0083739D" w:rsidRPr="00D9330B">
        <w:rPr>
          <w:rFonts w:ascii="Times New Roman" w:hAnsi="Times New Roman" w:cs="Times New Roman"/>
          <w:sz w:val="24"/>
          <w:szCs w:val="24"/>
          <w:lang w:val="en-GB"/>
        </w:rPr>
        <w:t xml:space="preserve"> and</w:t>
      </w:r>
      <w:r w:rsidR="001D5F4F" w:rsidRPr="00D9330B">
        <w:rPr>
          <w:rFonts w:ascii="Times New Roman" w:hAnsi="Times New Roman" w:cs="Times New Roman"/>
          <w:sz w:val="24"/>
          <w:szCs w:val="24"/>
          <w:lang w:val="en-GB"/>
        </w:rPr>
        <w:t xml:space="preserve"> use their votes to pressure authori</w:t>
      </w:r>
      <w:r w:rsidR="002F05BB" w:rsidRPr="00D9330B">
        <w:rPr>
          <w:rFonts w:ascii="Times New Roman" w:hAnsi="Times New Roman" w:cs="Times New Roman"/>
          <w:sz w:val="24"/>
          <w:szCs w:val="24"/>
          <w:lang w:val="en-GB"/>
        </w:rPr>
        <w:t>ties accordingly</w:t>
      </w:r>
      <w:r w:rsidR="001D5F4F" w:rsidRPr="00D9330B">
        <w:rPr>
          <w:rFonts w:ascii="Times New Roman" w:hAnsi="Times New Roman" w:cs="Times New Roman"/>
          <w:sz w:val="24"/>
          <w:szCs w:val="24"/>
          <w:lang w:val="en-GB"/>
        </w:rPr>
        <w:t>.</w:t>
      </w:r>
      <w:r w:rsidR="001D5F4F" w:rsidRPr="00D9330B">
        <w:rPr>
          <w:rStyle w:val="FootnoteReference"/>
          <w:rFonts w:ascii="Times New Roman" w:hAnsi="Times New Roman" w:cs="Times New Roman"/>
          <w:sz w:val="24"/>
          <w:szCs w:val="24"/>
          <w:lang w:val="en-GB"/>
        </w:rPr>
        <w:footnoteReference w:id="29"/>
      </w:r>
      <w:r w:rsidR="001D5F4F" w:rsidRPr="00D9330B">
        <w:rPr>
          <w:rFonts w:ascii="Times New Roman" w:hAnsi="Times New Roman" w:cs="Times New Roman"/>
          <w:sz w:val="24"/>
          <w:szCs w:val="24"/>
          <w:lang w:val="en-GB"/>
        </w:rPr>
        <w:t xml:space="preserve"> </w:t>
      </w:r>
      <w:r w:rsidR="00D223F3" w:rsidRPr="00D9330B">
        <w:rPr>
          <w:rFonts w:ascii="Times New Roman" w:hAnsi="Times New Roman" w:cs="Times New Roman"/>
          <w:sz w:val="24"/>
          <w:szCs w:val="24"/>
          <w:lang w:val="en-GB"/>
        </w:rPr>
        <w:t>S</w:t>
      </w:r>
      <w:r w:rsidR="005F030D" w:rsidRPr="00D9330B">
        <w:rPr>
          <w:rFonts w:ascii="Times New Roman" w:hAnsi="Times New Roman" w:cs="Times New Roman"/>
          <w:sz w:val="24"/>
          <w:szCs w:val="24"/>
          <w:lang w:val="en-GB"/>
        </w:rPr>
        <w:t>tudies focusing o</w:t>
      </w:r>
      <w:r w:rsidR="00127CC2" w:rsidRPr="00D9330B">
        <w:rPr>
          <w:rFonts w:ascii="Times New Roman" w:hAnsi="Times New Roman" w:cs="Times New Roman"/>
          <w:sz w:val="24"/>
          <w:szCs w:val="24"/>
          <w:lang w:val="en-GB"/>
        </w:rPr>
        <w:t>n Latin</w:t>
      </w:r>
      <w:r w:rsidR="003D38E7" w:rsidRPr="00D9330B">
        <w:rPr>
          <w:rFonts w:ascii="Times New Roman" w:hAnsi="Times New Roman" w:cs="Times New Roman"/>
          <w:sz w:val="24"/>
          <w:szCs w:val="24"/>
          <w:lang w:val="en-GB"/>
        </w:rPr>
        <w:t xml:space="preserve"> America have been</w:t>
      </w:r>
      <w:r w:rsidR="00127CC2" w:rsidRPr="00D9330B">
        <w:rPr>
          <w:rFonts w:ascii="Times New Roman" w:hAnsi="Times New Roman" w:cs="Times New Roman"/>
          <w:sz w:val="24"/>
          <w:szCs w:val="24"/>
          <w:lang w:val="en-GB"/>
        </w:rPr>
        <w:t xml:space="preserve"> critical of this notion</w:t>
      </w:r>
      <w:r w:rsidR="00430525" w:rsidRPr="00D9330B">
        <w:rPr>
          <w:rStyle w:val="FootnoteReference"/>
          <w:rFonts w:ascii="Times New Roman" w:hAnsi="Times New Roman" w:cs="Times New Roman"/>
          <w:sz w:val="24"/>
          <w:szCs w:val="24"/>
          <w:lang w:val="en-GB"/>
        </w:rPr>
        <w:t xml:space="preserve"> </w:t>
      </w:r>
      <w:r w:rsidR="003D38E7" w:rsidRPr="00D9330B">
        <w:rPr>
          <w:rFonts w:ascii="Times New Roman" w:hAnsi="Times New Roman" w:cs="Times New Roman"/>
          <w:sz w:val="24"/>
          <w:szCs w:val="24"/>
          <w:lang w:val="en-GB"/>
        </w:rPr>
        <w:t>and</w:t>
      </w:r>
      <w:r w:rsidR="00127CC2" w:rsidRPr="00D9330B">
        <w:rPr>
          <w:rFonts w:ascii="Times New Roman" w:hAnsi="Times New Roman" w:cs="Times New Roman"/>
          <w:sz w:val="24"/>
          <w:szCs w:val="24"/>
          <w:lang w:val="en-GB"/>
        </w:rPr>
        <w:t xml:space="preserve"> some</w:t>
      </w:r>
      <w:r w:rsidR="00E735BE" w:rsidRPr="00D9330B">
        <w:rPr>
          <w:rFonts w:ascii="Times New Roman" w:hAnsi="Times New Roman" w:cs="Times New Roman"/>
          <w:sz w:val="24"/>
          <w:szCs w:val="24"/>
          <w:lang w:val="en-GB"/>
        </w:rPr>
        <w:t xml:space="preserve"> even argue that inequality </w:t>
      </w:r>
      <w:r w:rsidR="00E735BE" w:rsidRPr="00D9330B">
        <w:rPr>
          <w:rFonts w:ascii="Times New Roman" w:hAnsi="Times New Roman" w:cs="Times New Roman"/>
          <w:sz w:val="24"/>
          <w:szCs w:val="24"/>
          <w:lang w:val="en-GB"/>
        </w:rPr>
        <w:lastRenderedPageBreak/>
        <w:t>is</w:t>
      </w:r>
      <w:r w:rsidR="003D38E7" w:rsidRPr="00D9330B">
        <w:rPr>
          <w:rFonts w:ascii="Times New Roman" w:hAnsi="Times New Roman" w:cs="Times New Roman"/>
          <w:sz w:val="24"/>
          <w:szCs w:val="24"/>
          <w:lang w:val="en-GB"/>
        </w:rPr>
        <w:t xml:space="preserve"> </w:t>
      </w:r>
      <w:r w:rsidR="00127CC2" w:rsidRPr="00D9330B">
        <w:rPr>
          <w:rFonts w:ascii="Times New Roman" w:hAnsi="Times New Roman" w:cs="Times New Roman"/>
          <w:sz w:val="24"/>
          <w:szCs w:val="24"/>
          <w:lang w:val="en-GB"/>
        </w:rPr>
        <w:t xml:space="preserve">inversely related to </w:t>
      </w:r>
      <w:r w:rsidR="007F13E8" w:rsidRPr="00D9330B">
        <w:rPr>
          <w:rFonts w:ascii="Times New Roman" w:hAnsi="Times New Roman" w:cs="Times New Roman"/>
          <w:sz w:val="24"/>
          <w:szCs w:val="24"/>
          <w:lang w:val="en-GB"/>
        </w:rPr>
        <w:t>taxation</w:t>
      </w:r>
      <w:r w:rsidR="003D38E7" w:rsidRPr="00D9330B">
        <w:rPr>
          <w:rFonts w:ascii="Times New Roman" w:hAnsi="Times New Roman" w:cs="Times New Roman"/>
          <w:sz w:val="24"/>
          <w:szCs w:val="24"/>
          <w:lang w:val="en-GB"/>
        </w:rPr>
        <w:t>.</w:t>
      </w:r>
      <w:r w:rsidR="00430525" w:rsidRPr="00D9330B">
        <w:rPr>
          <w:rStyle w:val="FootnoteReference"/>
          <w:rFonts w:ascii="Times New Roman" w:hAnsi="Times New Roman" w:cs="Times New Roman"/>
          <w:sz w:val="24"/>
          <w:szCs w:val="24"/>
          <w:lang w:val="en-GB"/>
        </w:rPr>
        <w:footnoteReference w:id="30"/>
      </w:r>
      <w:r w:rsidR="003D38E7" w:rsidRPr="00D9330B">
        <w:rPr>
          <w:rFonts w:ascii="Times New Roman" w:hAnsi="Times New Roman" w:cs="Times New Roman"/>
          <w:sz w:val="24"/>
          <w:szCs w:val="24"/>
          <w:lang w:val="en-GB"/>
        </w:rPr>
        <w:t xml:space="preserve"> Nonetheless, it is the cornerstone of some i</w:t>
      </w:r>
      <w:r w:rsidR="004D3984" w:rsidRPr="00D9330B">
        <w:rPr>
          <w:rFonts w:ascii="Times New Roman" w:hAnsi="Times New Roman" w:cs="Times New Roman"/>
          <w:sz w:val="24"/>
          <w:szCs w:val="24"/>
          <w:lang w:val="en-GB"/>
        </w:rPr>
        <w:t>nfluential contemporary studies</w:t>
      </w:r>
      <w:r w:rsidR="00A37CD2" w:rsidRPr="00D9330B">
        <w:rPr>
          <w:rFonts w:ascii="Times New Roman" w:hAnsi="Times New Roman" w:cs="Times New Roman"/>
          <w:sz w:val="24"/>
          <w:szCs w:val="24"/>
          <w:lang w:val="en-GB"/>
        </w:rPr>
        <w:t>.</w:t>
      </w:r>
      <w:r w:rsidR="00BA4EE7" w:rsidRPr="00D9330B">
        <w:rPr>
          <w:rStyle w:val="FootnoteReference"/>
          <w:rFonts w:ascii="Times New Roman" w:hAnsi="Times New Roman" w:cs="Times New Roman"/>
          <w:sz w:val="24"/>
          <w:szCs w:val="24"/>
          <w:lang w:val="en-GB"/>
        </w:rPr>
        <w:footnoteReference w:id="31"/>
      </w:r>
    </w:p>
    <w:p w:rsidR="005F030D" w:rsidRPr="00D9330B" w:rsidRDefault="001D5F4F" w:rsidP="005F030D">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At first glance, this would appear to be a promising explanation of Brazil’s heavy taxation</w:t>
      </w:r>
      <w:r w:rsidR="004D3984" w:rsidRPr="00D9330B">
        <w:rPr>
          <w:rFonts w:ascii="Times New Roman" w:hAnsi="Times New Roman" w:cs="Times New Roman"/>
          <w:sz w:val="24"/>
          <w:szCs w:val="24"/>
          <w:lang w:val="en-GB"/>
        </w:rPr>
        <w:t xml:space="preserve">, since </w:t>
      </w:r>
      <w:r w:rsidRPr="00D9330B">
        <w:rPr>
          <w:rFonts w:ascii="Times New Roman" w:hAnsi="Times New Roman" w:cs="Times New Roman"/>
          <w:sz w:val="24"/>
          <w:szCs w:val="24"/>
          <w:lang w:val="en-GB"/>
        </w:rPr>
        <w:t>income inequality</w:t>
      </w:r>
      <w:r w:rsidR="004D3984" w:rsidRPr="00D9330B">
        <w:rPr>
          <w:rFonts w:ascii="Times New Roman" w:hAnsi="Times New Roman" w:cs="Times New Roman"/>
          <w:sz w:val="24"/>
          <w:szCs w:val="24"/>
          <w:lang w:val="en-GB"/>
        </w:rPr>
        <w:t xml:space="preserve"> studies</w:t>
      </w:r>
      <w:r w:rsidRPr="00D9330B">
        <w:rPr>
          <w:rFonts w:ascii="Times New Roman" w:hAnsi="Times New Roman" w:cs="Times New Roman"/>
          <w:sz w:val="24"/>
          <w:szCs w:val="24"/>
          <w:lang w:val="en-GB"/>
        </w:rPr>
        <w:t xml:space="preserve"> </w:t>
      </w:r>
      <w:r w:rsidR="00A27272" w:rsidRPr="00D9330B">
        <w:rPr>
          <w:rFonts w:ascii="Times New Roman" w:hAnsi="Times New Roman" w:cs="Times New Roman"/>
          <w:sz w:val="24"/>
          <w:szCs w:val="24"/>
          <w:lang w:val="en-GB"/>
        </w:rPr>
        <w:t>have</w:t>
      </w:r>
      <w:r w:rsidR="00D53FC5" w:rsidRPr="00D9330B">
        <w:rPr>
          <w:rFonts w:ascii="Times New Roman" w:hAnsi="Times New Roman" w:cs="Times New Roman"/>
          <w:sz w:val="24"/>
          <w:szCs w:val="24"/>
          <w:lang w:val="en-GB"/>
        </w:rPr>
        <w:t xml:space="preserve"> consistently</w:t>
      </w:r>
      <w:r w:rsidR="00A27272" w:rsidRPr="00D9330B">
        <w:rPr>
          <w:rFonts w:ascii="Times New Roman" w:hAnsi="Times New Roman" w:cs="Times New Roman"/>
          <w:sz w:val="24"/>
          <w:szCs w:val="24"/>
          <w:lang w:val="en-GB"/>
        </w:rPr>
        <w:t xml:space="preserve"> portrayed Brazil as among the most unequal countries</w:t>
      </w:r>
      <w:r w:rsidRPr="00D9330B">
        <w:rPr>
          <w:rFonts w:ascii="Times New Roman" w:hAnsi="Times New Roman" w:cs="Times New Roman"/>
          <w:sz w:val="24"/>
          <w:szCs w:val="24"/>
          <w:lang w:val="en-GB"/>
        </w:rPr>
        <w:t xml:space="preserve"> in the region. However, it faces some obstacles. Perhaps most important, public opinion data do not support the idea that poorer Brazilians are more favourable to redistribution than richer ones.</w:t>
      </w:r>
      <w:r w:rsidRPr="00D9330B">
        <w:rPr>
          <w:rStyle w:val="FootnoteReference"/>
          <w:rFonts w:ascii="Times New Roman" w:hAnsi="Times New Roman" w:cs="Times New Roman"/>
          <w:sz w:val="24"/>
          <w:szCs w:val="24"/>
          <w:lang w:val="en-GB"/>
        </w:rPr>
        <w:footnoteReference w:id="32"/>
      </w:r>
      <w:r w:rsidRPr="00D9330B">
        <w:rPr>
          <w:rFonts w:ascii="Times New Roman" w:hAnsi="Times New Roman" w:cs="Times New Roman"/>
          <w:sz w:val="24"/>
          <w:szCs w:val="24"/>
          <w:lang w:val="en-GB"/>
        </w:rPr>
        <w:t xml:space="preserve"> For example, several surveys conducted since 1997 show that business owners, independent professionals and high executives are all more likely to describe the </w:t>
      </w:r>
      <w:r w:rsidR="00A27272" w:rsidRPr="00D9330B">
        <w:rPr>
          <w:rFonts w:ascii="Times New Roman" w:hAnsi="Times New Roman" w:cs="Times New Roman"/>
          <w:sz w:val="24"/>
          <w:szCs w:val="24"/>
          <w:lang w:val="en-GB"/>
        </w:rPr>
        <w:t>distribution of income</w:t>
      </w:r>
      <w:r w:rsidRPr="00D9330B">
        <w:rPr>
          <w:rFonts w:ascii="Times New Roman" w:hAnsi="Times New Roman" w:cs="Times New Roman"/>
          <w:sz w:val="24"/>
          <w:szCs w:val="24"/>
          <w:lang w:val="en-GB"/>
        </w:rPr>
        <w:t xml:space="preserve"> as ‘very unjust’ than agricultural workers or the self-employed and street vendors. A 1996 poll asked whether the government should reduce inequalities between rich and poor. Farmers were the most likely to strongly agree with this notion, but high executives and independent professionals were both more likely to take this position than either low-level employees or the self-employed and street vendors.</w:t>
      </w:r>
    </w:p>
    <w:p w:rsidR="00D223F3" w:rsidRPr="00D9330B" w:rsidRDefault="003B4558" w:rsidP="00346207">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In addit</w:t>
      </w:r>
      <w:r w:rsidR="00743C39" w:rsidRPr="00D9330B">
        <w:rPr>
          <w:rFonts w:ascii="Times New Roman" w:hAnsi="Times New Roman" w:cs="Times New Roman"/>
          <w:sz w:val="24"/>
          <w:szCs w:val="24"/>
          <w:lang w:val="en-GB"/>
        </w:rPr>
        <w:t xml:space="preserve">ion to the focus on </w:t>
      </w:r>
      <w:r w:rsidR="00BF470D" w:rsidRPr="00D9330B">
        <w:rPr>
          <w:rFonts w:ascii="Times New Roman" w:hAnsi="Times New Roman" w:cs="Times New Roman"/>
          <w:sz w:val="24"/>
          <w:szCs w:val="24"/>
          <w:lang w:val="en-GB"/>
        </w:rPr>
        <w:t>formal</w:t>
      </w:r>
      <w:r w:rsidR="00B11A86" w:rsidRPr="00D9330B">
        <w:rPr>
          <w:rFonts w:ascii="Times New Roman" w:hAnsi="Times New Roman" w:cs="Times New Roman"/>
          <w:sz w:val="24"/>
          <w:szCs w:val="24"/>
          <w:lang w:val="en-GB"/>
        </w:rPr>
        <w:t xml:space="preserve"> </w:t>
      </w:r>
      <w:r w:rsidR="00BF470D" w:rsidRPr="00D9330B">
        <w:rPr>
          <w:rFonts w:ascii="Times New Roman" w:hAnsi="Times New Roman" w:cs="Times New Roman"/>
          <w:sz w:val="24"/>
          <w:szCs w:val="24"/>
          <w:lang w:val="en-GB"/>
        </w:rPr>
        <w:t>institution</w:t>
      </w:r>
      <w:r w:rsidR="00743C39" w:rsidRPr="00D9330B">
        <w:rPr>
          <w:rFonts w:ascii="Times New Roman" w:hAnsi="Times New Roman" w:cs="Times New Roman"/>
          <w:sz w:val="24"/>
          <w:szCs w:val="24"/>
          <w:lang w:val="en-GB"/>
        </w:rPr>
        <w:t>s</w:t>
      </w:r>
      <w:r w:rsidR="008462A7" w:rsidRPr="00D9330B">
        <w:rPr>
          <w:rFonts w:ascii="Times New Roman" w:hAnsi="Times New Roman" w:cs="Times New Roman"/>
          <w:sz w:val="24"/>
          <w:szCs w:val="24"/>
          <w:lang w:val="en-GB"/>
        </w:rPr>
        <w:t xml:space="preserve"> like democracy and federalism</w:t>
      </w:r>
      <w:r w:rsidRPr="00D9330B">
        <w:rPr>
          <w:rFonts w:ascii="Times New Roman" w:hAnsi="Times New Roman" w:cs="Times New Roman"/>
          <w:sz w:val="24"/>
          <w:szCs w:val="24"/>
          <w:lang w:val="en-GB"/>
        </w:rPr>
        <w:t>, there</w:t>
      </w:r>
      <w:r w:rsidR="00743C39" w:rsidRPr="00D9330B">
        <w:rPr>
          <w:rFonts w:ascii="Times New Roman" w:hAnsi="Times New Roman" w:cs="Times New Roman"/>
          <w:sz w:val="24"/>
          <w:szCs w:val="24"/>
          <w:lang w:val="en-GB"/>
        </w:rPr>
        <w:t xml:space="preserve"> is also a li</w:t>
      </w:r>
      <w:r w:rsidR="00E17570" w:rsidRPr="00D9330B">
        <w:rPr>
          <w:rFonts w:ascii="Times New Roman" w:hAnsi="Times New Roman" w:cs="Times New Roman"/>
          <w:sz w:val="24"/>
          <w:szCs w:val="24"/>
          <w:lang w:val="en-GB"/>
        </w:rPr>
        <w:t>terature that links current</w:t>
      </w:r>
      <w:r w:rsidR="00743C39" w:rsidRPr="00D9330B">
        <w:rPr>
          <w:rFonts w:ascii="Times New Roman" w:hAnsi="Times New Roman" w:cs="Times New Roman"/>
          <w:sz w:val="24"/>
          <w:szCs w:val="24"/>
          <w:lang w:val="en-GB"/>
        </w:rPr>
        <w:t xml:space="preserve"> taxation levels to</w:t>
      </w:r>
      <w:r w:rsidR="00337932" w:rsidRPr="00D9330B">
        <w:rPr>
          <w:rFonts w:ascii="Times New Roman" w:hAnsi="Times New Roman" w:cs="Times New Roman"/>
          <w:sz w:val="24"/>
          <w:szCs w:val="24"/>
          <w:lang w:val="en-GB"/>
        </w:rPr>
        <w:t xml:space="preserve"> largely</w:t>
      </w:r>
      <w:r w:rsidR="00743C39" w:rsidRPr="00D9330B">
        <w:rPr>
          <w:rFonts w:ascii="Times New Roman" w:hAnsi="Times New Roman" w:cs="Times New Roman"/>
          <w:sz w:val="24"/>
          <w:szCs w:val="24"/>
          <w:lang w:val="en-GB"/>
        </w:rPr>
        <w:t xml:space="preserve"> informal institutions inherited fr</w:t>
      </w:r>
      <w:r w:rsidR="00D223F3" w:rsidRPr="00D9330B">
        <w:rPr>
          <w:rFonts w:ascii="Times New Roman" w:hAnsi="Times New Roman" w:cs="Times New Roman"/>
          <w:sz w:val="24"/>
          <w:szCs w:val="24"/>
          <w:lang w:val="en-GB"/>
        </w:rPr>
        <w:t>om the past</w:t>
      </w:r>
      <w:r w:rsidR="009A3128" w:rsidRPr="00D9330B">
        <w:rPr>
          <w:rFonts w:ascii="Times New Roman" w:hAnsi="Times New Roman" w:cs="Times New Roman"/>
          <w:sz w:val="24"/>
          <w:szCs w:val="24"/>
          <w:lang w:val="en-GB"/>
        </w:rPr>
        <w:t>. It explores</w:t>
      </w:r>
      <w:r w:rsidR="00A27272" w:rsidRPr="00D9330B">
        <w:rPr>
          <w:rFonts w:ascii="Times New Roman" w:hAnsi="Times New Roman" w:cs="Times New Roman"/>
          <w:sz w:val="24"/>
          <w:szCs w:val="24"/>
          <w:lang w:val="en-GB"/>
        </w:rPr>
        <w:t xml:space="preserve"> the origins</w:t>
      </w:r>
      <w:r w:rsidR="00301422" w:rsidRPr="00D9330B">
        <w:rPr>
          <w:rFonts w:ascii="Times New Roman" w:hAnsi="Times New Roman" w:cs="Times New Roman"/>
          <w:sz w:val="24"/>
          <w:szCs w:val="24"/>
          <w:lang w:val="en-GB"/>
        </w:rPr>
        <w:t xml:space="preserve"> of state</w:t>
      </w:r>
      <w:r w:rsidR="00EF0764" w:rsidRPr="00D9330B">
        <w:rPr>
          <w:rFonts w:ascii="Times New Roman" w:hAnsi="Times New Roman" w:cs="Times New Roman"/>
          <w:sz w:val="24"/>
          <w:szCs w:val="24"/>
          <w:lang w:val="en-GB"/>
        </w:rPr>
        <w:t xml:space="preserve"> capacity </w:t>
      </w:r>
      <w:r w:rsidR="00301422" w:rsidRPr="00D9330B">
        <w:rPr>
          <w:rFonts w:ascii="Times New Roman" w:hAnsi="Times New Roman" w:cs="Times New Roman"/>
          <w:sz w:val="24"/>
          <w:szCs w:val="24"/>
          <w:lang w:val="en-GB"/>
        </w:rPr>
        <w:t xml:space="preserve">and </w:t>
      </w:r>
      <w:r w:rsidR="009A3128" w:rsidRPr="00D9330B">
        <w:rPr>
          <w:rFonts w:ascii="Times New Roman" w:hAnsi="Times New Roman" w:cs="Times New Roman"/>
          <w:sz w:val="24"/>
          <w:szCs w:val="24"/>
          <w:lang w:val="en-GB"/>
        </w:rPr>
        <w:t>incorporates</w:t>
      </w:r>
      <w:r w:rsidR="008462A7" w:rsidRPr="00D9330B">
        <w:rPr>
          <w:rFonts w:ascii="Times New Roman" w:hAnsi="Times New Roman" w:cs="Times New Roman"/>
          <w:sz w:val="24"/>
          <w:szCs w:val="24"/>
          <w:lang w:val="en-GB"/>
        </w:rPr>
        <w:t xml:space="preserve"> taxation as a compo</w:t>
      </w:r>
      <w:r w:rsidR="00D223F3" w:rsidRPr="00D9330B">
        <w:rPr>
          <w:rFonts w:ascii="Times New Roman" w:hAnsi="Times New Roman" w:cs="Times New Roman"/>
          <w:sz w:val="24"/>
          <w:szCs w:val="24"/>
          <w:lang w:val="en-GB"/>
        </w:rPr>
        <w:t>nent</w:t>
      </w:r>
      <w:r w:rsidR="00EF0764" w:rsidRPr="00D9330B">
        <w:rPr>
          <w:rFonts w:ascii="Times New Roman" w:hAnsi="Times New Roman" w:cs="Times New Roman"/>
          <w:sz w:val="24"/>
          <w:szCs w:val="24"/>
          <w:lang w:val="en-GB"/>
        </w:rPr>
        <w:t xml:space="preserve"> of that </w:t>
      </w:r>
      <w:r w:rsidR="00EF0764" w:rsidRPr="00D9330B">
        <w:rPr>
          <w:rFonts w:ascii="Times New Roman" w:hAnsi="Times New Roman" w:cs="Times New Roman"/>
          <w:sz w:val="24"/>
          <w:szCs w:val="24"/>
          <w:lang w:val="en-GB"/>
        </w:rPr>
        <w:lastRenderedPageBreak/>
        <w:t>capacity</w:t>
      </w:r>
      <w:r w:rsidR="008462A7" w:rsidRPr="00D9330B">
        <w:rPr>
          <w:rFonts w:ascii="Times New Roman" w:hAnsi="Times New Roman" w:cs="Times New Roman"/>
          <w:sz w:val="24"/>
          <w:szCs w:val="24"/>
          <w:lang w:val="en-GB"/>
        </w:rPr>
        <w:t>.</w:t>
      </w:r>
      <w:r w:rsidR="00D755C4" w:rsidRPr="00D9330B">
        <w:rPr>
          <w:rFonts w:ascii="Times New Roman" w:hAnsi="Times New Roman" w:cs="Times New Roman"/>
          <w:sz w:val="24"/>
          <w:szCs w:val="24"/>
          <w:lang w:val="en-GB"/>
        </w:rPr>
        <w:t xml:space="preserve"> A major theme of this</w:t>
      </w:r>
      <w:r w:rsidR="00301422" w:rsidRPr="00D9330B">
        <w:rPr>
          <w:rFonts w:ascii="Times New Roman" w:hAnsi="Times New Roman" w:cs="Times New Roman"/>
          <w:sz w:val="24"/>
          <w:szCs w:val="24"/>
          <w:lang w:val="en-GB"/>
        </w:rPr>
        <w:t xml:space="preserve"> literature</w:t>
      </w:r>
      <w:r w:rsidR="00A129AD" w:rsidRPr="00D9330B">
        <w:rPr>
          <w:rFonts w:ascii="Times New Roman" w:hAnsi="Times New Roman" w:cs="Times New Roman"/>
          <w:sz w:val="24"/>
          <w:szCs w:val="24"/>
          <w:lang w:val="en-GB"/>
        </w:rPr>
        <w:t>, based mainly on the European experience,</w:t>
      </w:r>
      <w:r w:rsidR="00301422" w:rsidRPr="00D9330B">
        <w:rPr>
          <w:rFonts w:ascii="Times New Roman" w:hAnsi="Times New Roman" w:cs="Times New Roman"/>
          <w:sz w:val="24"/>
          <w:szCs w:val="24"/>
          <w:lang w:val="en-GB"/>
        </w:rPr>
        <w:t xml:space="preserve"> is the positive impact of </w:t>
      </w:r>
      <w:r w:rsidR="00D755C4" w:rsidRPr="00D9330B">
        <w:rPr>
          <w:rFonts w:ascii="Times New Roman" w:hAnsi="Times New Roman" w:cs="Times New Roman"/>
          <w:sz w:val="24"/>
          <w:szCs w:val="24"/>
          <w:lang w:val="en-GB"/>
        </w:rPr>
        <w:t xml:space="preserve">involvement in </w:t>
      </w:r>
      <w:r w:rsidR="00301422" w:rsidRPr="00D9330B">
        <w:rPr>
          <w:rFonts w:ascii="Times New Roman" w:hAnsi="Times New Roman" w:cs="Times New Roman"/>
          <w:sz w:val="24"/>
          <w:szCs w:val="24"/>
          <w:lang w:val="en-GB"/>
        </w:rPr>
        <w:t>external war on the state’s ability to tax.</w:t>
      </w:r>
      <w:r w:rsidR="00301422" w:rsidRPr="00D9330B">
        <w:rPr>
          <w:rStyle w:val="FootnoteReference"/>
          <w:rFonts w:ascii="Times New Roman" w:hAnsi="Times New Roman" w:cs="Times New Roman"/>
          <w:sz w:val="24"/>
          <w:szCs w:val="24"/>
          <w:lang w:val="en-GB"/>
        </w:rPr>
        <w:t xml:space="preserve"> </w:t>
      </w:r>
      <w:r w:rsidR="00301422" w:rsidRPr="00D9330B">
        <w:rPr>
          <w:rStyle w:val="FootnoteReference"/>
          <w:rFonts w:ascii="Times New Roman" w:hAnsi="Times New Roman" w:cs="Times New Roman"/>
          <w:sz w:val="24"/>
          <w:szCs w:val="24"/>
          <w:lang w:val="en-GB"/>
        </w:rPr>
        <w:footnoteReference w:id="33"/>
      </w:r>
      <w:r w:rsidR="00A129AD" w:rsidRPr="00D9330B">
        <w:rPr>
          <w:rFonts w:ascii="Times New Roman" w:hAnsi="Times New Roman" w:cs="Times New Roman"/>
          <w:sz w:val="24"/>
          <w:szCs w:val="24"/>
          <w:lang w:val="en-GB"/>
        </w:rPr>
        <w:t xml:space="preserve"> However, scholars</w:t>
      </w:r>
      <w:r w:rsidR="0051762C" w:rsidRPr="00D9330B">
        <w:rPr>
          <w:rFonts w:ascii="Times New Roman" w:hAnsi="Times New Roman" w:cs="Times New Roman"/>
          <w:sz w:val="24"/>
          <w:szCs w:val="24"/>
          <w:lang w:val="en-GB"/>
        </w:rPr>
        <w:t xml:space="preserve"> who ha</w:t>
      </w:r>
      <w:r w:rsidR="00A129AD" w:rsidRPr="00D9330B">
        <w:rPr>
          <w:rFonts w:ascii="Times New Roman" w:hAnsi="Times New Roman" w:cs="Times New Roman"/>
          <w:sz w:val="24"/>
          <w:szCs w:val="24"/>
          <w:lang w:val="en-GB"/>
        </w:rPr>
        <w:t>ve explored this argument in the Latin American</w:t>
      </w:r>
      <w:r w:rsidR="0051762C" w:rsidRPr="00D9330B">
        <w:rPr>
          <w:rFonts w:ascii="Times New Roman" w:hAnsi="Times New Roman" w:cs="Times New Roman"/>
          <w:sz w:val="24"/>
          <w:szCs w:val="24"/>
          <w:lang w:val="en-GB"/>
        </w:rPr>
        <w:t xml:space="preserve"> context have found it unconvincing.</w:t>
      </w:r>
      <w:r w:rsidR="00301422" w:rsidRPr="00D9330B">
        <w:rPr>
          <w:rStyle w:val="FootnoteReference"/>
          <w:rFonts w:ascii="Times New Roman" w:hAnsi="Times New Roman" w:cs="Times New Roman"/>
          <w:sz w:val="24"/>
          <w:szCs w:val="24"/>
          <w:lang w:val="en-GB"/>
        </w:rPr>
        <w:footnoteReference w:id="34"/>
      </w:r>
      <w:r w:rsidR="0051762C" w:rsidRPr="00D9330B">
        <w:rPr>
          <w:rFonts w:ascii="Times New Roman" w:hAnsi="Times New Roman" w:cs="Times New Roman"/>
          <w:sz w:val="24"/>
          <w:szCs w:val="24"/>
          <w:lang w:val="en-GB"/>
        </w:rPr>
        <w:t xml:space="preserve"> Moreover, Brazil does not stand out from other cou</w:t>
      </w:r>
      <w:r w:rsidR="00882ED7" w:rsidRPr="00D9330B">
        <w:rPr>
          <w:rFonts w:ascii="Times New Roman" w:hAnsi="Times New Roman" w:cs="Times New Roman"/>
          <w:sz w:val="24"/>
          <w:szCs w:val="24"/>
          <w:lang w:val="en-GB"/>
        </w:rPr>
        <w:t>ntrie</w:t>
      </w:r>
      <w:r w:rsidR="00156CF3" w:rsidRPr="00D9330B">
        <w:rPr>
          <w:rFonts w:ascii="Times New Roman" w:hAnsi="Times New Roman" w:cs="Times New Roman"/>
          <w:sz w:val="24"/>
          <w:szCs w:val="24"/>
          <w:lang w:val="en-GB"/>
        </w:rPr>
        <w:t>s in the region in the extent or</w:t>
      </w:r>
      <w:r w:rsidR="00882ED7" w:rsidRPr="00D9330B">
        <w:rPr>
          <w:rFonts w:ascii="Times New Roman" w:hAnsi="Times New Roman" w:cs="Times New Roman"/>
          <w:sz w:val="24"/>
          <w:szCs w:val="24"/>
          <w:lang w:val="en-GB"/>
        </w:rPr>
        <w:t xml:space="preserve"> character of</w:t>
      </w:r>
      <w:r w:rsidR="0051762C" w:rsidRPr="00D9330B">
        <w:rPr>
          <w:rFonts w:ascii="Times New Roman" w:hAnsi="Times New Roman" w:cs="Times New Roman"/>
          <w:sz w:val="24"/>
          <w:szCs w:val="24"/>
          <w:lang w:val="en-GB"/>
        </w:rPr>
        <w:t xml:space="preserve"> its involvement in foreign wars.</w:t>
      </w:r>
    </w:p>
    <w:p w:rsidR="00E17570" w:rsidRPr="00D9330B" w:rsidRDefault="001D2093" w:rsidP="00A822C5">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Kurtz</w:t>
      </w:r>
      <w:r w:rsidR="00104B63" w:rsidRPr="00D9330B">
        <w:rPr>
          <w:rFonts w:ascii="Times New Roman" w:hAnsi="Times New Roman" w:cs="Times New Roman"/>
          <w:sz w:val="24"/>
          <w:szCs w:val="24"/>
          <w:lang w:val="en-GB"/>
        </w:rPr>
        <w:t xml:space="preserve"> proposes an a</w:t>
      </w:r>
      <w:r w:rsidR="00683839" w:rsidRPr="00D9330B">
        <w:rPr>
          <w:rFonts w:ascii="Times New Roman" w:hAnsi="Times New Roman" w:cs="Times New Roman"/>
          <w:sz w:val="24"/>
          <w:szCs w:val="24"/>
          <w:lang w:val="en-GB"/>
        </w:rPr>
        <w:t>lternative</w:t>
      </w:r>
      <w:r w:rsidR="001D3D2F" w:rsidRPr="00D9330B">
        <w:rPr>
          <w:rFonts w:ascii="Times New Roman" w:hAnsi="Times New Roman" w:cs="Times New Roman"/>
          <w:sz w:val="24"/>
          <w:szCs w:val="24"/>
          <w:lang w:val="en-GB"/>
        </w:rPr>
        <w:t xml:space="preserve"> historical</w:t>
      </w:r>
      <w:r w:rsidR="004F07EB" w:rsidRPr="00D9330B">
        <w:rPr>
          <w:rFonts w:ascii="Times New Roman" w:hAnsi="Times New Roman" w:cs="Times New Roman"/>
          <w:sz w:val="24"/>
          <w:szCs w:val="24"/>
          <w:lang w:val="en-GB"/>
        </w:rPr>
        <w:t xml:space="preserve"> account</w:t>
      </w:r>
      <w:r w:rsidR="007C6D93" w:rsidRPr="00D9330B">
        <w:rPr>
          <w:rFonts w:ascii="Times New Roman" w:hAnsi="Times New Roman" w:cs="Times New Roman"/>
          <w:sz w:val="24"/>
          <w:szCs w:val="24"/>
          <w:lang w:val="en-GB"/>
        </w:rPr>
        <w:t xml:space="preserve"> tracing</w:t>
      </w:r>
      <w:r w:rsidR="00104B63" w:rsidRPr="00D9330B">
        <w:rPr>
          <w:rFonts w:ascii="Times New Roman" w:hAnsi="Times New Roman" w:cs="Times New Roman"/>
          <w:sz w:val="24"/>
          <w:szCs w:val="24"/>
          <w:lang w:val="en-GB"/>
        </w:rPr>
        <w:t xml:space="preserve"> variation in </w:t>
      </w:r>
      <w:r w:rsidR="00683839" w:rsidRPr="00D9330B">
        <w:rPr>
          <w:rFonts w:ascii="Times New Roman" w:hAnsi="Times New Roman" w:cs="Times New Roman"/>
          <w:sz w:val="24"/>
          <w:szCs w:val="24"/>
          <w:lang w:val="en-GB"/>
        </w:rPr>
        <w:t>state s</w:t>
      </w:r>
      <w:r w:rsidR="004B7E3C" w:rsidRPr="00D9330B">
        <w:rPr>
          <w:rFonts w:ascii="Times New Roman" w:hAnsi="Times New Roman" w:cs="Times New Roman"/>
          <w:sz w:val="24"/>
          <w:szCs w:val="24"/>
          <w:lang w:val="en-GB"/>
        </w:rPr>
        <w:t>trength to the outcomes of two ‘critical junctures’</w:t>
      </w:r>
      <w:r w:rsidR="00104B63" w:rsidRPr="00D9330B">
        <w:rPr>
          <w:rFonts w:ascii="Times New Roman" w:hAnsi="Times New Roman" w:cs="Times New Roman"/>
          <w:sz w:val="24"/>
          <w:szCs w:val="24"/>
          <w:lang w:val="en-GB"/>
        </w:rPr>
        <w:t>:</w:t>
      </w:r>
      <w:r w:rsidR="00683839" w:rsidRPr="00D9330B">
        <w:rPr>
          <w:sz w:val="24"/>
          <w:szCs w:val="24"/>
          <w:lang w:val="en-GB"/>
        </w:rPr>
        <w:t xml:space="preserve"> </w:t>
      </w:r>
      <w:r w:rsidR="004F07EB" w:rsidRPr="00D9330B">
        <w:rPr>
          <w:rFonts w:ascii="Times New Roman" w:hAnsi="Times New Roman" w:cs="Times New Roman"/>
          <w:sz w:val="24"/>
          <w:szCs w:val="24"/>
          <w:lang w:val="en-GB"/>
        </w:rPr>
        <w:t xml:space="preserve">the transition </w:t>
      </w:r>
      <w:r w:rsidR="00683839" w:rsidRPr="00D9330B">
        <w:rPr>
          <w:rFonts w:ascii="Times New Roman" w:hAnsi="Times New Roman" w:cs="Times New Roman"/>
          <w:sz w:val="24"/>
          <w:szCs w:val="24"/>
          <w:lang w:val="en-GB"/>
        </w:rPr>
        <w:t>to independence</w:t>
      </w:r>
      <w:r w:rsidR="004F07EB" w:rsidRPr="00D9330B">
        <w:rPr>
          <w:rFonts w:ascii="Times New Roman" w:hAnsi="Times New Roman" w:cs="Times New Roman"/>
          <w:sz w:val="24"/>
          <w:szCs w:val="24"/>
          <w:lang w:val="en-GB"/>
        </w:rPr>
        <w:t xml:space="preserve"> and the political rise</w:t>
      </w:r>
      <w:r w:rsidR="00CE2263" w:rsidRPr="00D9330B">
        <w:rPr>
          <w:rFonts w:ascii="Times New Roman" w:hAnsi="Times New Roman" w:cs="Times New Roman"/>
          <w:sz w:val="24"/>
          <w:szCs w:val="24"/>
          <w:lang w:val="en-GB"/>
        </w:rPr>
        <w:t xml:space="preserve"> of non-elite</w:t>
      </w:r>
      <w:r w:rsidR="00E17570" w:rsidRPr="00D9330B">
        <w:rPr>
          <w:rFonts w:ascii="Times New Roman" w:hAnsi="Times New Roman" w:cs="Times New Roman"/>
          <w:sz w:val="24"/>
          <w:szCs w:val="24"/>
          <w:lang w:val="en-GB"/>
        </w:rPr>
        <w:t xml:space="preserve">s in the early 20th century. </w:t>
      </w:r>
      <w:r w:rsidR="00683839" w:rsidRPr="00D9330B">
        <w:rPr>
          <w:rFonts w:ascii="Times New Roman" w:hAnsi="Times New Roman" w:cs="Times New Roman"/>
          <w:sz w:val="24"/>
          <w:szCs w:val="24"/>
          <w:lang w:val="en-GB"/>
        </w:rPr>
        <w:t>Relatively str</w:t>
      </w:r>
      <w:r w:rsidR="004F07EB" w:rsidRPr="00D9330B">
        <w:rPr>
          <w:rFonts w:ascii="Times New Roman" w:hAnsi="Times New Roman" w:cs="Times New Roman"/>
          <w:sz w:val="24"/>
          <w:szCs w:val="24"/>
          <w:lang w:val="en-GB"/>
        </w:rPr>
        <w:t xml:space="preserve">ong states </w:t>
      </w:r>
      <w:r w:rsidR="008829B3" w:rsidRPr="00D9330B">
        <w:rPr>
          <w:rFonts w:ascii="Times New Roman" w:hAnsi="Times New Roman" w:cs="Times New Roman"/>
          <w:sz w:val="24"/>
          <w:szCs w:val="24"/>
          <w:lang w:val="en-GB"/>
        </w:rPr>
        <w:t>arose during</w:t>
      </w:r>
      <w:r w:rsidR="007728BA">
        <w:rPr>
          <w:rFonts w:ascii="Times New Roman" w:hAnsi="Times New Roman" w:cs="Times New Roman"/>
          <w:sz w:val="24"/>
          <w:szCs w:val="24"/>
          <w:lang w:val="en-GB"/>
        </w:rPr>
        <w:t xml:space="preserve"> the post-independence decades</w:t>
      </w:r>
      <w:r w:rsidR="00683839" w:rsidRPr="00D9330B">
        <w:rPr>
          <w:rFonts w:ascii="Times New Roman" w:hAnsi="Times New Roman" w:cs="Times New Roman"/>
          <w:sz w:val="24"/>
          <w:szCs w:val="24"/>
          <w:lang w:val="en-GB"/>
        </w:rPr>
        <w:t xml:space="preserve"> wh</w:t>
      </w:r>
      <w:r w:rsidR="008829B3" w:rsidRPr="00D9330B">
        <w:rPr>
          <w:rFonts w:ascii="Times New Roman" w:hAnsi="Times New Roman" w:cs="Times New Roman"/>
          <w:sz w:val="24"/>
          <w:szCs w:val="24"/>
          <w:lang w:val="en-GB"/>
        </w:rPr>
        <w:t>en two conditions were present</w:t>
      </w:r>
      <w:r w:rsidR="00683839" w:rsidRPr="00D9330B">
        <w:rPr>
          <w:rFonts w:ascii="Times New Roman" w:hAnsi="Times New Roman" w:cs="Times New Roman"/>
          <w:sz w:val="24"/>
          <w:szCs w:val="24"/>
          <w:lang w:val="en-GB"/>
        </w:rPr>
        <w:t>:  labour was not legally servile</w:t>
      </w:r>
      <w:r w:rsidR="00CE2263" w:rsidRPr="00D9330B">
        <w:rPr>
          <w:rFonts w:ascii="Times New Roman" w:hAnsi="Times New Roman" w:cs="Times New Roman"/>
          <w:sz w:val="24"/>
          <w:szCs w:val="24"/>
          <w:lang w:val="en-GB"/>
        </w:rPr>
        <w:t>,</w:t>
      </w:r>
      <w:r w:rsidR="00683839" w:rsidRPr="00D9330B">
        <w:rPr>
          <w:rFonts w:ascii="Times New Roman" w:hAnsi="Times New Roman" w:cs="Times New Roman"/>
          <w:sz w:val="24"/>
          <w:szCs w:val="24"/>
          <w:lang w:val="en-GB"/>
        </w:rPr>
        <w:t xml:space="preserve"> and </w:t>
      </w:r>
      <w:r w:rsidR="001F3394" w:rsidRPr="00D9330B">
        <w:rPr>
          <w:rFonts w:ascii="Times New Roman" w:hAnsi="Times New Roman" w:cs="Times New Roman"/>
          <w:sz w:val="24"/>
          <w:szCs w:val="24"/>
          <w:lang w:val="en-GB"/>
        </w:rPr>
        <w:t xml:space="preserve">regional </w:t>
      </w:r>
      <w:r w:rsidR="003E2648" w:rsidRPr="00D9330B">
        <w:rPr>
          <w:rFonts w:ascii="Times New Roman" w:hAnsi="Times New Roman" w:cs="Times New Roman"/>
          <w:sz w:val="24"/>
          <w:szCs w:val="24"/>
          <w:lang w:val="en-GB"/>
        </w:rPr>
        <w:t>elites</w:t>
      </w:r>
      <w:r w:rsidR="00683839" w:rsidRPr="00D9330B">
        <w:rPr>
          <w:rFonts w:ascii="Times New Roman" w:hAnsi="Times New Roman" w:cs="Times New Roman"/>
          <w:sz w:val="24"/>
          <w:szCs w:val="24"/>
          <w:lang w:val="en-GB"/>
        </w:rPr>
        <w:t xml:space="preserve"> establish</w:t>
      </w:r>
      <w:r w:rsidR="003E2648" w:rsidRPr="00D9330B">
        <w:rPr>
          <w:rFonts w:ascii="Times New Roman" w:hAnsi="Times New Roman" w:cs="Times New Roman"/>
          <w:sz w:val="24"/>
          <w:szCs w:val="24"/>
          <w:lang w:val="en-GB"/>
        </w:rPr>
        <w:t>ed</w:t>
      </w:r>
      <w:r w:rsidR="009A3128" w:rsidRPr="00D9330B">
        <w:rPr>
          <w:rFonts w:ascii="Times New Roman" w:hAnsi="Times New Roman" w:cs="Times New Roman"/>
          <w:sz w:val="24"/>
          <w:szCs w:val="24"/>
          <w:lang w:val="en-GB"/>
        </w:rPr>
        <w:t xml:space="preserve"> a working</w:t>
      </w:r>
      <w:r w:rsidR="00683839" w:rsidRPr="00D9330B">
        <w:rPr>
          <w:rFonts w:ascii="Times New Roman" w:hAnsi="Times New Roman" w:cs="Times New Roman"/>
          <w:sz w:val="24"/>
          <w:szCs w:val="24"/>
          <w:lang w:val="en-GB"/>
        </w:rPr>
        <w:t xml:space="preserve"> relationship at the national level.</w:t>
      </w:r>
      <w:r w:rsidR="001F3394" w:rsidRPr="00D9330B">
        <w:rPr>
          <w:rFonts w:ascii="Times New Roman" w:hAnsi="Times New Roman" w:cs="Times New Roman"/>
          <w:sz w:val="24"/>
          <w:szCs w:val="24"/>
          <w:lang w:val="en-GB"/>
        </w:rPr>
        <w:t xml:space="preserve"> </w:t>
      </w:r>
      <w:r w:rsidR="004B7E3C" w:rsidRPr="00D9330B">
        <w:rPr>
          <w:rFonts w:ascii="Times New Roman" w:hAnsi="Times New Roman" w:cs="Times New Roman"/>
          <w:sz w:val="24"/>
          <w:szCs w:val="24"/>
          <w:lang w:val="en-GB"/>
        </w:rPr>
        <w:t>The results of the</w:t>
      </w:r>
      <w:r w:rsidR="0083739D" w:rsidRPr="00D9330B">
        <w:rPr>
          <w:rFonts w:ascii="Times New Roman" w:hAnsi="Times New Roman" w:cs="Times New Roman"/>
          <w:sz w:val="24"/>
          <w:szCs w:val="24"/>
          <w:lang w:val="en-GB"/>
        </w:rPr>
        <w:t xml:space="preserve"> first</w:t>
      </w:r>
      <w:r w:rsidR="001F3394" w:rsidRPr="00D9330B">
        <w:rPr>
          <w:rFonts w:ascii="Times New Roman" w:hAnsi="Times New Roman" w:cs="Times New Roman"/>
          <w:sz w:val="24"/>
          <w:szCs w:val="24"/>
          <w:lang w:val="en-GB"/>
        </w:rPr>
        <w:t xml:space="preserve"> juncture</w:t>
      </w:r>
      <w:r w:rsidR="001D3D2F" w:rsidRPr="00D9330B">
        <w:rPr>
          <w:rFonts w:ascii="Times New Roman" w:hAnsi="Times New Roman" w:cs="Times New Roman"/>
          <w:sz w:val="24"/>
          <w:szCs w:val="24"/>
          <w:lang w:val="en-GB"/>
        </w:rPr>
        <w:t xml:space="preserve"> part</w:t>
      </w:r>
      <w:r w:rsidR="001F3394" w:rsidRPr="00D9330B">
        <w:rPr>
          <w:rFonts w:ascii="Times New Roman" w:hAnsi="Times New Roman" w:cs="Times New Roman"/>
          <w:sz w:val="24"/>
          <w:szCs w:val="24"/>
          <w:lang w:val="en-GB"/>
        </w:rPr>
        <w:t>ly determined</w:t>
      </w:r>
      <w:r w:rsidR="001D3D2F" w:rsidRPr="00D9330B">
        <w:rPr>
          <w:rFonts w:ascii="Times New Roman" w:hAnsi="Times New Roman" w:cs="Times New Roman"/>
          <w:sz w:val="24"/>
          <w:szCs w:val="24"/>
          <w:lang w:val="en-GB"/>
        </w:rPr>
        <w:t xml:space="preserve"> that</w:t>
      </w:r>
      <w:r w:rsidR="00D53FC5" w:rsidRPr="00D9330B">
        <w:rPr>
          <w:rFonts w:ascii="Times New Roman" w:hAnsi="Times New Roman" w:cs="Times New Roman"/>
          <w:sz w:val="24"/>
          <w:szCs w:val="24"/>
          <w:lang w:val="en-GB"/>
        </w:rPr>
        <w:t xml:space="preserve"> of the second one: w</w:t>
      </w:r>
      <w:r w:rsidR="001F3394" w:rsidRPr="00D9330B">
        <w:rPr>
          <w:rFonts w:ascii="Times New Roman" w:hAnsi="Times New Roman" w:cs="Times New Roman"/>
          <w:sz w:val="24"/>
          <w:szCs w:val="24"/>
          <w:lang w:val="en-GB"/>
        </w:rPr>
        <w:t>here the state was already weak the emergence of new political actors</w:t>
      </w:r>
      <w:r w:rsidR="007C6D93" w:rsidRPr="00D9330B">
        <w:rPr>
          <w:rFonts w:ascii="Times New Roman" w:hAnsi="Times New Roman" w:cs="Times New Roman"/>
          <w:sz w:val="24"/>
          <w:szCs w:val="24"/>
          <w:lang w:val="en-GB"/>
        </w:rPr>
        <w:t xml:space="preserve"> only</w:t>
      </w:r>
      <w:r w:rsidR="001F3394" w:rsidRPr="00D9330B">
        <w:rPr>
          <w:rFonts w:ascii="Times New Roman" w:hAnsi="Times New Roman" w:cs="Times New Roman"/>
          <w:sz w:val="24"/>
          <w:szCs w:val="24"/>
          <w:lang w:val="en-GB"/>
        </w:rPr>
        <w:t xml:space="preserve"> weakened it further. </w:t>
      </w:r>
      <w:r w:rsidRPr="00D9330B">
        <w:rPr>
          <w:rFonts w:ascii="Times New Roman" w:hAnsi="Times New Roman" w:cs="Times New Roman"/>
          <w:sz w:val="24"/>
          <w:szCs w:val="24"/>
          <w:lang w:val="en-GB"/>
        </w:rPr>
        <w:t>Paradoxically, this account would</w:t>
      </w:r>
      <w:r w:rsidR="001D3D2F" w:rsidRPr="00D9330B">
        <w:rPr>
          <w:rFonts w:ascii="Times New Roman" w:hAnsi="Times New Roman" w:cs="Times New Roman"/>
          <w:sz w:val="24"/>
          <w:szCs w:val="24"/>
          <w:lang w:val="en-GB"/>
        </w:rPr>
        <w:t xml:space="preserve"> appear to predict a</w:t>
      </w:r>
      <w:r w:rsidR="006642D0" w:rsidRPr="00D9330B">
        <w:rPr>
          <w:rFonts w:ascii="Times New Roman" w:hAnsi="Times New Roman" w:cs="Times New Roman"/>
          <w:sz w:val="24"/>
          <w:szCs w:val="24"/>
          <w:lang w:val="en-GB"/>
        </w:rPr>
        <w:t xml:space="preserve"> relatively</w:t>
      </w:r>
      <w:r w:rsidRPr="00D9330B">
        <w:rPr>
          <w:rFonts w:ascii="Times New Roman" w:hAnsi="Times New Roman" w:cs="Times New Roman"/>
          <w:sz w:val="24"/>
          <w:szCs w:val="24"/>
          <w:lang w:val="en-GB"/>
        </w:rPr>
        <w:t xml:space="preserve"> weak state, and thus light taxation</w:t>
      </w:r>
      <w:r w:rsidR="001D3D2F"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 xml:space="preserve">in Brazil, </w:t>
      </w:r>
      <w:r w:rsidR="001D3D2F" w:rsidRPr="00D9330B">
        <w:rPr>
          <w:rFonts w:ascii="Times New Roman" w:hAnsi="Times New Roman" w:cs="Times New Roman"/>
          <w:sz w:val="24"/>
          <w:szCs w:val="24"/>
          <w:lang w:val="en-GB"/>
        </w:rPr>
        <w:t xml:space="preserve">due to </w:t>
      </w:r>
      <w:r w:rsidR="00B62CF9" w:rsidRPr="00D9330B">
        <w:rPr>
          <w:rFonts w:ascii="Times New Roman" w:hAnsi="Times New Roman" w:cs="Times New Roman"/>
          <w:sz w:val="24"/>
          <w:szCs w:val="24"/>
          <w:lang w:val="en-GB"/>
        </w:rPr>
        <w:t xml:space="preserve">the </w:t>
      </w:r>
      <w:r w:rsidR="001D3D2F" w:rsidRPr="00D9330B">
        <w:rPr>
          <w:rFonts w:ascii="Times New Roman" w:hAnsi="Times New Roman" w:cs="Times New Roman"/>
          <w:sz w:val="24"/>
          <w:szCs w:val="24"/>
          <w:lang w:val="en-GB"/>
        </w:rPr>
        <w:t xml:space="preserve">persistence of </w:t>
      </w:r>
      <w:r w:rsidRPr="00D9330B">
        <w:rPr>
          <w:rFonts w:ascii="Times New Roman" w:hAnsi="Times New Roman" w:cs="Times New Roman"/>
          <w:sz w:val="24"/>
          <w:szCs w:val="24"/>
          <w:lang w:val="en-GB"/>
        </w:rPr>
        <w:t xml:space="preserve">legal </w:t>
      </w:r>
      <w:r w:rsidR="001D3D2F" w:rsidRPr="00D9330B">
        <w:rPr>
          <w:rFonts w:ascii="Times New Roman" w:hAnsi="Times New Roman" w:cs="Times New Roman"/>
          <w:sz w:val="24"/>
          <w:szCs w:val="24"/>
          <w:lang w:val="en-GB"/>
        </w:rPr>
        <w:t>slavery for more than six decades after</w:t>
      </w:r>
      <w:r w:rsidR="00B62CF9" w:rsidRPr="00D9330B">
        <w:rPr>
          <w:rFonts w:ascii="Times New Roman" w:hAnsi="Times New Roman" w:cs="Times New Roman"/>
          <w:sz w:val="24"/>
          <w:szCs w:val="24"/>
          <w:lang w:val="en-GB"/>
        </w:rPr>
        <w:t xml:space="preserve"> independenc</w:t>
      </w:r>
      <w:r w:rsidR="00CE2263" w:rsidRPr="00D9330B">
        <w:rPr>
          <w:rFonts w:ascii="Times New Roman" w:hAnsi="Times New Roman" w:cs="Times New Roman"/>
          <w:sz w:val="24"/>
          <w:szCs w:val="24"/>
          <w:lang w:val="en-GB"/>
        </w:rPr>
        <w:t>e</w:t>
      </w:r>
      <w:r w:rsidR="001D3D2F"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Unfortunately, however, the author does not explicitly discuss how his theory (which is grounded in case studies of Argentina, Chile, Peru and Uruguay</w:t>
      </w:r>
      <w:r w:rsidR="0083739D" w:rsidRPr="00D9330B">
        <w:rPr>
          <w:rFonts w:ascii="Times New Roman" w:hAnsi="Times New Roman" w:cs="Times New Roman"/>
          <w:sz w:val="24"/>
          <w:szCs w:val="24"/>
          <w:lang w:val="en-GB"/>
        </w:rPr>
        <w:t>) applies to Brazil.</w:t>
      </w:r>
    </w:p>
    <w:p w:rsidR="004B7E3C" w:rsidRDefault="004A4A9B" w:rsidP="00A822C5">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r>
      <w:r w:rsidR="006D6E9E" w:rsidRPr="00D9330B">
        <w:rPr>
          <w:rFonts w:ascii="Times New Roman" w:hAnsi="Times New Roman" w:cs="Times New Roman"/>
          <w:sz w:val="24"/>
          <w:szCs w:val="24"/>
          <w:lang w:val="en-GB"/>
        </w:rPr>
        <w:t>I</w:t>
      </w:r>
      <w:r w:rsidR="00B62CF9" w:rsidRPr="00D9330B">
        <w:rPr>
          <w:rFonts w:ascii="Times New Roman" w:hAnsi="Times New Roman" w:cs="Times New Roman"/>
          <w:sz w:val="24"/>
          <w:szCs w:val="24"/>
          <w:lang w:val="en-GB"/>
        </w:rPr>
        <w:t>nformal institutions</w:t>
      </w:r>
      <w:r w:rsidR="00D53FC5" w:rsidRPr="00D9330B">
        <w:rPr>
          <w:rFonts w:ascii="Times New Roman" w:hAnsi="Times New Roman" w:cs="Times New Roman"/>
          <w:sz w:val="24"/>
          <w:szCs w:val="24"/>
          <w:lang w:val="en-GB"/>
        </w:rPr>
        <w:t xml:space="preserve"> are also the focus of a body scholarship that</w:t>
      </w:r>
      <w:r w:rsidR="002F3FF9">
        <w:rPr>
          <w:rFonts w:ascii="Times New Roman" w:hAnsi="Times New Roman" w:cs="Times New Roman"/>
          <w:sz w:val="24"/>
          <w:szCs w:val="24"/>
          <w:lang w:val="en-GB"/>
        </w:rPr>
        <w:t xml:space="preserve"> emphasis</w:t>
      </w:r>
      <w:r w:rsidR="006D6E9E" w:rsidRPr="00D9330B">
        <w:rPr>
          <w:rFonts w:ascii="Times New Roman" w:hAnsi="Times New Roman" w:cs="Times New Roman"/>
          <w:sz w:val="24"/>
          <w:szCs w:val="24"/>
          <w:lang w:val="en-GB"/>
        </w:rPr>
        <w:t>es</w:t>
      </w:r>
      <w:r w:rsidR="00B62CF9" w:rsidRPr="00D9330B">
        <w:rPr>
          <w:rFonts w:ascii="Times New Roman" w:hAnsi="Times New Roman" w:cs="Times New Roman"/>
          <w:sz w:val="24"/>
          <w:szCs w:val="24"/>
          <w:lang w:val="en-GB"/>
        </w:rPr>
        <w:t xml:space="preserve"> tax compliance and its determina</w:t>
      </w:r>
      <w:r w:rsidR="00D53FC5" w:rsidRPr="00D9330B">
        <w:rPr>
          <w:rFonts w:ascii="Times New Roman" w:hAnsi="Times New Roman" w:cs="Times New Roman"/>
          <w:sz w:val="24"/>
          <w:szCs w:val="24"/>
          <w:lang w:val="en-GB"/>
        </w:rPr>
        <w:t>nts, arguing</w:t>
      </w:r>
      <w:r w:rsidR="000E5136" w:rsidRPr="00D9330B">
        <w:rPr>
          <w:rFonts w:ascii="Times New Roman" w:hAnsi="Times New Roman" w:cs="Times New Roman"/>
          <w:sz w:val="24"/>
          <w:szCs w:val="24"/>
          <w:lang w:val="en-GB"/>
        </w:rPr>
        <w:t xml:space="preserve"> that the</w:t>
      </w:r>
      <w:r w:rsidR="00B62CF9" w:rsidRPr="00D9330B">
        <w:rPr>
          <w:rFonts w:ascii="Times New Roman" w:hAnsi="Times New Roman" w:cs="Times New Roman"/>
          <w:sz w:val="24"/>
          <w:szCs w:val="24"/>
          <w:lang w:val="en-GB"/>
        </w:rPr>
        <w:t xml:space="preserve"> </w:t>
      </w:r>
      <w:r w:rsidR="000E5136" w:rsidRPr="00D9330B">
        <w:rPr>
          <w:rFonts w:ascii="Times New Roman" w:hAnsi="Times New Roman" w:cs="Times New Roman"/>
          <w:sz w:val="24"/>
          <w:szCs w:val="24"/>
          <w:lang w:val="en-GB"/>
        </w:rPr>
        <w:t>ability to tax</w:t>
      </w:r>
      <w:r w:rsidR="00B62CF9" w:rsidRPr="00D9330B">
        <w:rPr>
          <w:rFonts w:ascii="Times New Roman" w:hAnsi="Times New Roman" w:cs="Times New Roman"/>
          <w:sz w:val="24"/>
          <w:szCs w:val="24"/>
          <w:lang w:val="en-GB"/>
        </w:rPr>
        <w:t xml:space="preserve"> depends on</w:t>
      </w:r>
      <w:r w:rsidR="000E5136" w:rsidRPr="00D9330B">
        <w:rPr>
          <w:rFonts w:ascii="Times New Roman" w:hAnsi="Times New Roman" w:cs="Times New Roman"/>
          <w:sz w:val="24"/>
          <w:szCs w:val="24"/>
          <w:lang w:val="en-GB"/>
        </w:rPr>
        <w:t xml:space="preserve"> widely diffused </w:t>
      </w:r>
      <w:r w:rsidR="000E5136" w:rsidRPr="00D9330B">
        <w:rPr>
          <w:rFonts w:ascii="Times New Roman" w:hAnsi="Times New Roman" w:cs="Times New Roman"/>
          <w:sz w:val="24"/>
          <w:szCs w:val="24"/>
          <w:lang w:val="en-GB"/>
        </w:rPr>
        <w:lastRenderedPageBreak/>
        <w:t>citizen perceptions of the legitimacy and efficacy of the state.</w:t>
      </w:r>
      <w:r w:rsidR="000E5136" w:rsidRPr="00D9330B">
        <w:rPr>
          <w:rStyle w:val="FootnoteReference"/>
          <w:rFonts w:ascii="Times New Roman" w:hAnsi="Times New Roman" w:cs="Times New Roman"/>
          <w:sz w:val="24"/>
          <w:szCs w:val="24"/>
          <w:lang w:val="en-GB"/>
        </w:rPr>
        <w:footnoteReference w:id="35"/>
      </w:r>
      <w:r w:rsidR="00CF13D0" w:rsidRPr="00D9330B">
        <w:rPr>
          <w:rFonts w:ascii="Times New Roman" w:hAnsi="Times New Roman" w:cs="Times New Roman"/>
          <w:sz w:val="24"/>
          <w:szCs w:val="24"/>
          <w:lang w:val="en-GB"/>
        </w:rPr>
        <w:t xml:space="preserve"> The hypothesis that</w:t>
      </w:r>
      <w:r w:rsidR="000E5136" w:rsidRPr="00D9330B">
        <w:rPr>
          <w:rFonts w:ascii="Times New Roman" w:hAnsi="Times New Roman" w:cs="Times New Roman"/>
          <w:sz w:val="24"/>
          <w:szCs w:val="24"/>
          <w:lang w:val="en-GB"/>
        </w:rPr>
        <w:t xml:space="preserve"> springs from this</w:t>
      </w:r>
      <w:r w:rsidR="002200E7" w:rsidRPr="00D9330B">
        <w:rPr>
          <w:rFonts w:ascii="Times New Roman" w:hAnsi="Times New Roman" w:cs="Times New Roman"/>
          <w:sz w:val="24"/>
          <w:szCs w:val="24"/>
          <w:lang w:val="en-GB"/>
        </w:rPr>
        <w:t xml:space="preserve"> </w:t>
      </w:r>
      <w:r w:rsidR="000E5136" w:rsidRPr="00D9330B">
        <w:rPr>
          <w:rFonts w:ascii="Times New Roman" w:hAnsi="Times New Roman" w:cs="Times New Roman"/>
          <w:sz w:val="24"/>
          <w:szCs w:val="24"/>
          <w:lang w:val="en-GB"/>
        </w:rPr>
        <w:t xml:space="preserve">view is </w:t>
      </w:r>
      <w:r w:rsidR="00E17570" w:rsidRPr="00D9330B">
        <w:rPr>
          <w:rFonts w:ascii="Times New Roman" w:hAnsi="Times New Roman" w:cs="Times New Roman"/>
          <w:sz w:val="24"/>
          <w:szCs w:val="24"/>
          <w:lang w:val="en-GB"/>
        </w:rPr>
        <w:t>that</w:t>
      </w:r>
      <w:r w:rsidR="00473379" w:rsidRPr="00D9330B">
        <w:rPr>
          <w:rFonts w:ascii="Times New Roman" w:hAnsi="Times New Roman" w:cs="Times New Roman"/>
          <w:sz w:val="24"/>
          <w:szCs w:val="24"/>
          <w:lang w:val="en-GB"/>
        </w:rPr>
        <w:t xml:space="preserve"> Brazil’s tax burden is heavy</w:t>
      </w:r>
      <w:r w:rsidR="002200E7" w:rsidRPr="00D9330B">
        <w:rPr>
          <w:rFonts w:ascii="Times New Roman" w:hAnsi="Times New Roman" w:cs="Times New Roman"/>
          <w:sz w:val="24"/>
          <w:szCs w:val="24"/>
          <w:lang w:val="en-GB"/>
        </w:rPr>
        <w:t xml:space="preserve"> because its citizens have a positive perception of the state and its ability to enforce the law and thus tend to</w:t>
      </w:r>
      <w:r w:rsidR="00CF13D0" w:rsidRPr="00D9330B">
        <w:rPr>
          <w:rFonts w:ascii="Times New Roman" w:hAnsi="Times New Roman" w:cs="Times New Roman"/>
          <w:sz w:val="24"/>
          <w:szCs w:val="24"/>
          <w:lang w:val="en-GB"/>
        </w:rPr>
        <w:t xml:space="preserve"> </w:t>
      </w:r>
      <w:proofErr w:type="spellStart"/>
      <w:r w:rsidR="00CF13D0" w:rsidRPr="00D9330B">
        <w:rPr>
          <w:rFonts w:ascii="Times New Roman" w:hAnsi="Times New Roman" w:cs="Times New Roman"/>
          <w:sz w:val="24"/>
          <w:szCs w:val="24"/>
          <w:lang w:val="en-GB"/>
        </w:rPr>
        <w:t>fulfill</w:t>
      </w:r>
      <w:proofErr w:type="spellEnd"/>
      <w:r w:rsidR="00CF13D0" w:rsidRPr="00D9330B">
        <w:rPr>
          <w:rFonts w:ascii="Times New Roman" w:hAnsi="Times New Roman" w:cs="Times New Roman"/>
          <w:sz w:val="24"/>
          <w:szCs w:val="24"/>
          <w:lang w:val="en-GB"/>
        </w:rPr>
        <w:t xml:space="preserve"> their tax obligations</w:t>
      </w:r>
      <w:r w:rsidR="000E5136" w:rsidRPr="00D9330B">
        <w:rPr>
          <w:rFonts w:ascii="Times New Roman" w:hAnsi="Times New Roman" w:cs="Times New Roman"/>
          <w:sz w:val="24"/>
          <w:szCs w:val="24"/>
          <w:lang w:val="en-GB"/>
        </w:rPr>
        <w:t>.</w:t>
      </w:r>
      <w:r w:rsidR="009A7189" w:rsidRPr="00D9330B">
        <w:rPr>
          <w:rFonts w:ascii="Times New Roman" w:hAnsi="Times New Roman" w:cs="Times New Roman"/>
          <w:sz w:val="24"/>
          <w:szCs w:val="24"/>
          <w:lang w:val="en-GB"/>
        </w:rPr>
        <w:t xml:space="preserve"> However</w:t>
      </w:r>
      <w:r w:rsidR="0016763F" w:rsidRPr="00D9330B">
        <w:rPr>
          <w:rFonts w:ascii="Times New Roman" w:hAnsi="Times New Roman" w:cs="Times New Roman"/>
          <w:sz w:val="24"/>
          <w:szCs w:val="24"/>
          <w:lang w:val="en-GB"/>
        </w:rPr>
        <w:t>, the</w:t>
      </w:r>
      <w:r w:rsidR="005F274F" w:rsidRPr="00D9330B">
        <w:rPr>
          <w:rFonts w:ascii="Times New Roman" w:hAnsi="Times New Roman" w:cs="Times New Roman"/>
          <w:sz w:val="24"/>
          <w:szCs w:val="24"/>
          <w:lang w:val="en-GB"/>
        </w:rPr>
        <w:t xml:space="preserve"> available</w:t>
      </w:r>
      <w:r w:rsidR="0016763F" w:rsidRPr="00D9330B">
        <w:rPr>
          <w:rFonts w:ascii="Times New Roman" w:hAnsi="Times New Roman" w:cs="Times New Roman"/>
          <w:sz w:val="24"/>
          <w:szCs w:val="24"/>
          <w:lang w:val="en-GB"/>
        </w:rPr>
        <w:t xml:space="preserve"> data</w:t>
      </w:r>
      <w:r w:rsidR="00DE2B6D" w:rsidRPr="00D9330B">
        <w:rPr>
          <w:rFonts w:ascii="Times New Roman" w:hAnsi="Times New Roman" w:cs="Times New Roman"/>
          <w:sz w:val="24"/>
          <w:szCs w:val="24"/>
          <w:lang w:val="en-GB"/>
        </w:rPr>
        <w:t xml:space="preserve"> do not</w:t>
      </w:r>
      <w:r w:rsidR="00482506" w:rsidRPr="00D9330B">
        <w:rPr>
          <w:rFonts w:ascii="Times New Roman" w:hAnsi="Times New Roman" w:cs="Times New Roman"/>
          <w:sz w:val="24"/>
          <w:szCs w:val="24"/>
          <w:lang w:val="en-GB"/>
        </w:rPr>
        <w:t xml:space="preserve"> suggest</w:t>
      </w:r>
      <w:r w:rsidR="005F274F" w:rsidRPr="00D9330B">
        <w:rPr>
          <w:rFonts w:ascii="Times New Roman" w:hAnsi="Times New Roman" w:cs="Times New Roman"/>
          <w:sz w:val="24"/>
          <w:szCs w:val="24"/>
          <w:lang w:val="en-GB"/>
        </w:rPr>
        <w:t xml:space="preserve"> that Brazilian</w:t>
      </w:r>
      <w:r w:rsidR="00482506" w:rsidRPr="00D9330B">
        <w:rPr>
          <w:rFonts w:ascii="Times New Roman" w:hAnsi="Times New Roman" w:cs="Times New Roman"/>
          <w:sz w:val="24"/>
          <w:szCs w:val="24"/>
          <w:lang w:val="en-GB"/>
        </w:rPr>
        <w:t xml:space="preserve"> ta</w:t>
      </w:r>
      <w:r w:rsidR="005F274F" w:rsidRPr="00D9330B">
        <w:rPr>
          <w:rFonts w:ascii="Times New Roman" w:hAnsi="Times New Roman" w:cs="Times New Roman"/>
          <w:sz w:val="24"/>
          <w:szCs w:val="24"/>
          <w:lang w:val="en-GB"/>
        </w:rPr>
        <w:t xml:space="preserve">x compliance </w:t>
      </w:r>
      <w:r w:rsidR="00DE2B6D" w:rsidRPr="00D9330B">
        <w:rPr>
          <w:rFonts w:ascii="Times New Roman" w:hAnsi="Times New Roman" w:cs="Times New Roman"/>
          <w:sz w:val="24"/>
          <w:szCs w:val="24"/>
          <w:lang w:val="en-GB"/>
        </w:rPr>
        <w:t>is particularly</w:t>
      </w:r>
      <w:r w:rsidR="006161A5" w:rsidRPr="00D9330B">
        <w:rPr>
          <w:rFonts w:ascii="Times New Roman" w:hAnsi="Times New Roman" w:cs="Times New Roman"/>
          <w:sz w:val="24"/>
          <w:szCs w:val="24"/>
          <w:lang w:val="en-GB"/>
        </w:rPr>
        <w:t xml:space="preserve"> high</w:t>
      </w:r>
      <w:r w:rsidR="002200E7" w:rsidRPr="00D9330B">
        <w:rPr>
          <w:rFonts w:ascii="Times New Roman" w:hAnsi="Times New Roman" w:cs="Times New Roman"/>
          <w:sz w:val="24"/>
          <w:szCs w:val="24"/>
          <w:lang w:val="en-GB"/>
        </w:rPr>
        <w:t>.</w:t>
      </w:r>
      <w:r w:rsidR="000B1746" w:rsidRPr="00D9330B">
        <w:rPr>
          <w:rFonts w:ascii="Times New Roman" w:hAnsi="Times New Roman" w:cs="Times New Roman"/>
          <w:sz w:val="24"/>
          <w:szCs w:val="24"/>
          <w:lang w:val="en-GB"/>
        </w:rPr>
        <w:t xml:space="preserve"> For example,</w:t>
      </w:r>
      <w:r w:rsidR="00527FE8" w:rsidRPr="00D9330B">
        <w:rPr>
          <w:rFonts w:ascii="Times New Roman" w:hAnsi="Times New Roman" w:cs="Times New Roman"/>
          <w:sz w:val="24"/>
          <w:szCs w:val="24"/>
          <w:lang w:val="en-GB"/>
        </w:rPr>
        <w:t xml:space="preserve"> recent </w:t>
      </w:r>
      <w:proofErr w:type="spellStart"/>
      <w:r w:rsidR="00527FE8" w:rsidRPr="00D9330B">
        <w:rPr>
          <w:rFonts w:ascii="Times New Roman" w:hAnsi="Times New Roman" w:cs="Times New Roman"/>
          <w:sz w:val="24"/>
          <w:szCs w:val="24"/>
          <w:lang w:val="en-GB"/>
        </w:rPr>
        <w:t>Latinobarometro</w:t>
      </w:r>
      <w:proofErr w:type="spellEnd"/>
      <w:r w:rsidR="00527FE8" w:rsidRPr="00D9330B">
        <w:rPr>
          <w:rFonts w:ascii="Times New Roman" w:hAnsi="Times New Roman" w:cs="Times New Roman"/>
          <w:sz w:val="24"/>
          <w:szCs w:val="24"/>
          <w:lang w:val="en-GB"/>
        </w:rPr>
        <w:t xml:space="preserve"> surveys asked respondents to estimate the percentage of their fellow citizens who</w:t>
      </w:r>
      <w:r w:rsidR="00482506" w:rsidRPr="00D9330B">
        <w:rPr>
          <w:rFonts w:ascii="Times New Roman" w:hAnsi="Times New Roman" w:cs="Times New Roman"/>
          <w:sz w:val="24"/>
          <w:szCs w:val="24"/>
          <w:lang w:val="en-GB"/>
        </w:rPr>
        <w:t xml:space="preserve"> pay their taxes in full</w:t>
      </w:r>
      <w:r w:rsidR="00527FE8" w:rsidRPr="00D9330B">
        <w:rPr>
          <w:rFonts w:ascii="Times New Roman" w:hAnsi="Times New Roman" w:cs="Times New Roman"/>
          <w:sz w:val="24"/>
          <w:szCs w:val="24"/>
          <w:lang w:val="en-GB"/>
        </w:rPr>
        <w:t>. In Brazil the average estimate w</w:t>
      </w:r>
      <w:r w:rsidR="00482506" w:rsidRPr="00D9330B">
        <w:rPr>
          <w:rFonts w:ascii="Times New Roman" w:hAnsi="Times New Roman" w:cs="Times New Roman"/>
          <w:sz w:val="24"/>
          <w:szCs w:val="24"/>
          <w:lang w:val="en-GB"/>
        </w:rPr>
        <w:t>as 54.5 per</w:t>
      </w:r>
      <w:r w:rsidR="006A1023">
        <w:rPr>
          <w:rFonts w:ascii="Times New Roman" w:hAnsi="Times New Roman" w:cs="Times New Roman"/>
          <w:sz w:val="24"/>
          <w:szCs w:val="24"/>
          <w:lang w:val="en-GB"/>
        </w:rPr>
        <w:t xml:space="preserve"> </w:t>
      </w:r>
      <w:r w:rsidR="00482506" w:rsidRPr="00D9330B">
        <w:rPr>
          <w:rFonts w:ascii="Times New Roman" w:hAnsi="Times New Roman" w:cs="Times New Roman"/>
          <w:sz w:val="24"/>
          <w:szCs w:val="24"/>
          <w:lang w:val="en-GB"/>
        </w:rPr>
        <w:t>cent, c</w:t>
      </w:r>
      <w:r w:rsidR="00CE2263" w:rsidRPr="00D9330B">
        <w:rPr>
          <w:rFonts w:ascii="Times New Roman" w:hAnsi="Times New Roman" w:cs="Times New Roman"/>
          <w:sz w:val="24"/>
          <w:szCs w:val="24"/>
          <w:lang w:val="en-GB"/>
        </w:rPr>
        <w:t>ompared to a regional</w:t>
      </w:r>
      <w:r w:rsidR="00527FE8" w:rsidRPr="00D9330B">
        <w:rPr>
          <w:rFonts w:ascii="Times New Roman" w:hAnsi="Times New Roman" w:cs="Times New Roman"/>
          <w:sz w:val="24"/>
          <w:szCs w:val="24"/>
          <w:lang w:val="en-GB"/>
        </w:rPr>
        <w:t xml:space="preserve"> average of 53.1 per cent.</w:t>
      </w:r>
      <w:r w:rsidR="00FC3EEC" w:rsidRPr="00D9330B">
        <w:rPr>
          <w:rStyle w:val="FootnoteReference"/>
          <w:rFonts w:ascii="Times New Roman" w:hAnsi="Times New Roman" w:cs="Times New Roman"/>
          <w:sz w:val="24"/>
          <w:szCs w:val="24"/>
          <w:lang w:val="en-GB"/>
        </w:rPr>
        <w:footnoteReference w:id="36"/>
      </w:r>
      <w:r w:rsidR="00527FE8" w:rsidRPr="00D9330B">
        <w:rPr>
          <w:rFonts w:ascii="Times New Roman" w:hAnsi="Times New Roman" w:cs="Times New Roman"/>
          <w:sz w:val="24"/>
          <w:szCs w:val="24"/>
          <w:lang w:val="en-GB"/>
        </w:rPr>
        <w:t xml:space="preserve"> </w:t>
      </w:r>
      <w:r w:rsidR="00882ED7" w:rsidRPr="00D9330B">
        <w:rPr>
          <w:rFonts w:ascii="Times New Roman" w:hAnsi="Times New Roman" w:cs="Times New Roman"/>
          <w:sz w:val="24"/>
          <w:szCs w:val="24"/>
          <w:lang w:val="en-GB"/>
        </w:rPr>
        <w:t>M</w:t>
      </w:r>
      <w:r w:rsidR="009A7189" w:rsidRPr="00D9330B">
        <w:rPr>
          <w:rFonts w:ascii="Times New Roman" w:hAnsi="Times New Roman" w:cs="Times New Roman"/>
          <w:sz w:val="24"/>
          <w:szCs w:val="24"/>
          <w:lang w:val="en-GB"/>
        </w:rPr>
        <w:t>ore</w:t>
      </w:r>
      <w:r w:rsidR="000B1746" w:rsidRPr="00D9330B">
        <w:rPr>
          <w:rFonts w:ascii="Times New Roman" w:hAnsi="Times New Roman" w:cs="Times New Roman"/>
          <w:sz w:val="24"/>
          <w:szCs w:val="24"/>
          <w:lang w:val="en-GB"/>
        </w:rPr>
        <w:t xml:space="preserve"> damaging</w:t>
      </w:r>
      <w:r w:rsidR="006161A5" w:rsidRPr="00D9330B">
        <w:rPr>
          <w:rFonts w:ascii="Times New Roman" w:hAnsi="Times New Roman" w:cs="Times New Roman"/>
          <w:sz w:val="24"/>
          <w:szCs w:val="24"/>
          <w:lang w:val="en-GB"/>
        </w:rPr>
        <w:t xml:space="preserve"> are data from the</w:t>
      </w:r>
      <w:r w:rsidR="00527FE8" w:rsidRPr="00D9330B">
        <w:rPr>
          <w:rFonts w:ascii="Times New Roman" w:hAnsi="Times New Roman" w:cs="Times New Roman"/>
          <w:sz w:val="24"/>
          <w:szCs w:val="24"/>
          <w:lang w:val="en-GB"/>
        </w:rPr>
        <w:t xml:space="preserve"> World Bank’s Enterprise Survey for 2005-2006</w:t>
      </w:r>
      <w:r w:rsidR="006161A5" w:rsidRPr="00D9330B">
        <w:rPr>
          <w:rFonts w:ascii="Times New Roman" w:hAnsi="Times New Roman" w:cs="Times New Roman"/>
          <w:sz w:val="24"/>
          <w:szCs w:val="24"/>
          <w:lang w:val="en-GB"/>
        </w:rPr>
        <w:t>, which</w:t>
      </w:r>
      <w:r w:rsidR="00527FE8" w:rsidRPr="00D9330B">
        <w:rPr>
          <w:rFonts w:ascii="Times New Roman" w:hAnsi="Times New Roman" w:cs="Times New Roman"/>
          <w:sz w:val="24"/>
          <w:szCs w:val="24"/>
          <w:lang w:val="en-GB"/>
        </w:rPr>
        <w:t xml:space="preserve"> included a question that assessed corporate tax </w:t>
      </w:r>
      <w:r w:rsidR="005F274F" w:rsidRPr="00D9330B">
        <w:rPr>
          <w:rFonts w:ascii="Times New Roman" w:hAnsi="Times New Roman" w:cs="Times New Roman"/>
          <w:sz w:val="24"/>
          <w:szCs w:val="24"/>
          <w:lang w:val="en-GB"/>
        </w:rPr>
        <w:t>compliance by asking</w:t>
      </w:r>
      <w:r w:rsidR="00D755C4" w:rsidRPr="00D9330B">
        <w:rPr>
          <w:rFonts w:ascii="Times New Roman" w:hAnsi="Times New Roman" w:cs="Times New Roman"/>
          <w:sz w:val="24"/>
          <w:szCs w:val="24"/>
          <w:lang w:val="en-GB"/>
        </w:rPr>
        <w:t xml:space="preserve"> business</w:t>
      </w:r>
      <w:r w:rsidR="00527FE8" w:rsidRPr="00D9330B">
        <w:rPr>
          <w:rFonts w:ascii="Times New Roman" w:hAnsi="Times New Roman" w:cs="Times New Roman"/>
          <w:sz w:val="24"/>
          <w:szCs w:val="24"/>
          <w:lang w:val="en-GB"/>
        </w:rPr>
        <w:t xml:space="preserve"> ex</w:t>
      </w:r>
      <w:r w:rsidR="004D3984" w:rsidRPr="00D9330B">
        <w:rPr>
          <w:rFonts w:ascii="Times New Roman" w:hAnsi="Times New Roman" w:cs="Times New Roman"/>
          <w:sz w:val="24"/>
          <w:szCs w:val="24"/>
          <w:lang w:val="en-GB"/>
        </w:rPr>
        <w:t>ecutives to estimate</w:t>
      </w:r>
      <w:r w:rsidR="006161A5" w:rsidRPr="00D9330B">
        <w:rPr>
          <w:rFonts w:ascii="Times New Roman" w:hAnsi="Times New Roman" w:cs="Times New Roman"/>
          <w:sz w:val="24"/>
          <w:szCs w:val="24"/>
          <w:lang w:val="en-GB"/>
        </w:rPr>
        <w:t xml:space="preserve"> </w:t>
      </w:r>
      <w:r w:rsidR="00527FE8" w:rsidRPr="00D9330B">
        <w:rPr>
          <w:rFonts w:ascii="Times New Roman" w:hAnsi="Times New Roman" w:cs="Times New Roman"/>
          <w:sz w:val="24"/>
          <w:szCs w:val="24"/>
          <w:lang w:val="en-GB"/>
        </w:rPr>
        <w:t>compliance in their sector.</w:t>
      </w:r>
      <w:r w:rsidR="00482506" w:rsidRPr="00D9330B">
        <w:rPr>
          <w:rFonts w:ascii="Times New Roman" w:hAnsi="Times New Roman" w:cs="Times New Roman"/>
          <w:sz w:val="24"/>
          <w:szCs w:val="24"/>
          <w:lang w:val="en-GB"/>
        </w:rPr>
        <w:t xml:space="preserve"> Out of nine Latin American countries</w:t>
      </w:r>
      <w:r w:rsidR="00527FE8" w:rsidRPr="00D9330B">
        <w:rPr>
          <w:rFonts w:ascii="Times New Roman" w:hAnsi="Times New Roman" w:cs="Times New Roman"/>
          <w:sz w:val="24"/>
          <w:szCs w:val="24"/>
          <w:lang w:val="en-GB"/>
        </w:rPr>
        <w:t>, Brazil had the se</w:t>
      </w:r>
      <w:r w:rsidR="00F93543" w:rsidRPr="00D9330B">
        <w:rPr>
          <w:rFonts w:ascii="Times New Roman" w:hAnsi="Times New Roman" w:cs="Times New Roman"/>
          <w:sz w:val="24"/>
          <w:szCs w:val="24"/>
          <w:lang w:val="en-GB"/>
        </w:rPr>
        <w:t>cond lowest rate</w:t>
      </w:r>
      <w:r w:rsidR="00482506" w:rsidRPr="00D9330B">
        <w:rPr>
          <w:rFonts w:ascii="Times New Roman" w:hAnsi="Times New Roman" w:cs="Times New Roman"/>
          <w:sz w:val="24"/>
          <w:szCs w:val="24"/>
          <w:lang w:val="en-GB"/>
        </w:rPr>
        <w:t>.</w:t>
      </w:r>
      <w:r w:rsidR="00482506" w:rsidRPr="00D9330B">
        <w:rPr>
          <w:rStyle w:val="FootnoteReference"/>
          <w:rFonts w:ascii="Times New Roman" w:hAnsi="Times New Roman" w:cs="Times New Roman"/>
          <w:sz w:val="24"/>
          <w:szCs w:val="24"/>
          <w:lang w:val="en-GB"/>
        </w:rPr>
        <w:footnoteReference w:id="37"/>
      </w:r>
    </w:p>
    <w:p w:rsidR="00656385" w:rsidRDefault="00E32569" w:rsidP="00CF180A">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While the lit</w:t>
      </w:r>
      <w:r w:rsidR="00656385">
        <w:rPr>
          <w:rFonts w:ascii="Times New Roman" w:hAnsi="Times New Roman" w:cs="Times New Roman"/>
          <w:sz w:val="24"/>
          <w:szCs w:val="24"/>
          <w:lang w:val="en-GB"/>
        </w:rPr>
        <w:t>erature discussed above</w:t>
      </w:r>
      <w:r>
        <w:rPr>
          <w:rFonts w:ascii="Times New Roman" w:hAnsi="Times New Roman" w:cs="Times New Roman"/>
          <w:sz w:val="24"/>
          <w:szCs w:val="24"/>
          <w:lang w:val="en-GB"/>
        </w:rPr>
        <w:t xml:space="preserve"> offer</w:t>
      </w:r>
      <w:r w:rsidR="00656385">
        <w:rPr>
          <w:rFonts w:ascii="Times New Roman" w:hAnsi="Times New Roman" w:cs="Times New Roman"/>
          <w:sz w:val="24"/>
          <w:szCs w:val="24"/>
          <w:lang w:val="en-GB"/>
        </w:rPr>
        <w:t>s</w:t>
      </w:r>
      <w:r>
        <w:rPr>
          <w:rFonts w:ascii="Times New Roman" w:hAnsi="Times New Roman" w:cs="Times New Roman"/>
          <w:sz w:val="24"/>
          <w:szCs w:val="24"/>
          <w:lang w:val="en-GB"/>
        </w:rPr>
        <w:t xml:space="preserve"> li</w:t>
      </w:r>
      <w:r w:rsidR="00D32017">
        <w:rPr>
          <w:rFonts w:ascii="Times New Roman" w:hAnsi="Times New Roman" w:cs="Times New Roman"/>
          <w:sz w:val="24"/>
          <w:szCs w:val="24"/>
          <w:lang w:val="en-GB"/>
        </w:rPr>
        <w:t>ttle help solving</w:t>
      </w:r>
      <w:r>
        <w:rPr>
          <w:rFonts w:ascii="Times New Roman" w:hAnsi="Times New Roman" w:cs="Times New Roman"/>
          <w:sz w:val="24"/>
          <w:szCs w:val="24"/>
          <w:lang w:val="en-GB"/>
        </w:rPr>
        <w:t xml:space="preserve"> the p</w:t>
      </w:r>
      <w:r w:rsidR="00D32017">
        <w:rPr>
          <w:rFonts w:ascii="Times New Roman" w:hAnsi="Times New Roman" w:cs="Times New Roman"/>
          <w:sz w:val="24"/>
          <w:szCs w:val="24"/>
          <w:lang w:val="en-GB"/>
        </w:rPr>
        <w:t>uzzle examined here, some other approaches do contribute</w:t>
      </w:r>
      <w:r w:rsidR="0094769F">
        <w:rPr>
          <w:rFonts w:ascii="Times New Roman" w:hAnsi="Times New Roman" w:cs="Times New Roman"/>
          <w:sz w:val="24"/>
          <w:szCs w:val="24"/>
          <w:lang w:val="en-GB"/>
        </w:rPr>
        <w:t xml:space="preserve"> </w:t>
      </w:r>
      <w:r>
        <w:rPr>
          <w:rFonts w:ascii="Times New Roman" w:hAnsi="Times New Roman" w:cs="Times New Roman"/>
          <w:sz w:val="24"/>
          <w:szCs w:val="24"/>
          <w:lang w:val="en-GB"/>
        </w:rPr>
        <w:t>significant pieces</w:t>
      </w:r>
      <w:r w:rsidRPr="00D9330B">
        <w:rPr>
          <w:rFonts w:ascii="Times New Roman" w:hAnsi="Times New Roman" w:cs="Times New Roman"/>
          <w:sz w:val="24"/>
          <w:szCs w:val="24"/>
          <w:lang w:val="en-GB"/>
        </w:rPr>
        <w:t>.</w:t>
      </w:r>
      <w:r w:rsidR="00D32017">
        <w:rPr>
          <w:rFonts w:ascii="Times New Roman" w:hAnsi="Times New Roman" w:cs="Times New Roman"/>
          <w:sz w:val="24"/>
          <w:szCs w:val="24"/>
          <w:lang w:val="en-GB"/>
        </w:rPr>
        <w:t xml:space="preserve"> Among these is the scholarship</w:t>
      </w:r>
      <w:r w:rsidR="00656385">
        <w:rPr>
          <w:rFonts w:ascii="Times New Roman" w:hAnsi="Times New Roman" w:cs="Times New Roman"/>
          <w:sz w:val="24"/>
          <w:szCs w:val="24"/>
          <w:lang w:val="en-GB"/>
        </w:rPr>
        <w:t xml:space="preserve"> on the </w:t>
      </w:r>
      <w:r w:rsidR="00D32017">
        <w:rPr>
          <w:rFonts w:ascii="Times New Roman" w:hAnsi="Times New Roman" w:cs="Times New Roman"/>
          <w:sz w:val="24"/>
          <w:szCs w:val="24"/>
          <w:lang w:val="en-GB"/>
        </w:rPr>
        <w:t>‘rentier state’, which notes</w:t>
      </w:r>
      <w:r w:rsidRPr="00D9330B">
        <w:rPr>
          <w:rFonts w:ascii="Times New Roman" w:hAnsi="Times New Roman" w:cs="Times New Roman"/>
          <w:sz w:val="24"/>
          <w:szCs w:val="24"/>
          <w:lang w:val="en-GB"/>
        </w:rPr>
        <w:t xml:space="preserve"> that the existence of plentiful natural resources controlled by the state tends to suppress taxation.</w:t>
      </w:r>
      <w:r w:rsidRPr="00D9330B">
        <w:rPr>
          <w:rStyle w:val="FootnoteReference"/>
          <w:rFonts w:ascii="Times New Roman" w:hAnsi="Times New Roman" w:cs="Times New Roman"/>
          <w:sz w:val="24"/>
          <w:szCs w:val="24"/>
          <w:lang w:val="en-GB"/>
        </w:rPr>
        <w:footnoteReference w:id="38"/>
      </w:r>
      <w:r w:rsidRPr="00D9330B">
        <w:rPr>
          <w:rFonts w:ascii="Times New Roman" w:hAnsi="Times New Roman" w:cs="Times New Roman"/>
          <w:sz w:val="24"/>
          <w:szCs w:val="24"/>
          <w:lang w:val="en-GB"/>
        </w:rPr>
        <w:t xml:space="preserve"> Since taxation is challenging, leaders with access to resource rents </w:t>
      </w:r>
      <w:r w:rsidRPr="00D9330B">
        <w:rPr>
          <w:rFonts w:ascii="Times New Roman" w:hAnsi="Times New Roman" w:cs="Times New Roman"/>
          <w:sz w:val="24"/>
          <w:szCs w:val="24"/>
          <w:lang w:val="en-GB"/>
        </w:rPr>
        <w:lastRenderedPageBreak/>
        <w:t xml:space="preserve">tend to rely on them and forego heavier taxation. It is unsurprising from this perspective that the Brazilian state </w:t>
      </w:r>
      <w:r w:rsidR="0094769F">
        <w:rPr>
          <w:rFonts w:ascii="Times New Roman" w:hAnsi="Times New Roman" w:cs="Times New Roman"/>
          <w:sz w:val="24"/>
          <w:szCs w:val="24"/>
          <w:lang w:val="en-GB"/>
        </w:rPr>
        <w:t>taxes heavily, since its</w:t>
      </w:r>
      <w:r w:rsidRPr="00D9330B">
        <w:rPr>
          <w:rFonts w:ascii="Times New Roman" w:hAnsi="Times New Roman" w:cs="Times New Roman"/>
          <w:sz w:val="24"/>
          <w:szCs w:val="24"/>
          <w:lang w:val="en-GB"/>
        </w:rPr>
        <w:t xml:space="preserve"> resource rents are lower than those of several other countries in Latin America.</w:t>
      </w:r>
      <w:r w:rsidRPr="00D9330B">
        <w:rPr>
          <w:rStyle w:val="FootnoteReference"/>
          <w:rFonts w:ascii="Times New Roman" w:hAnsi="Times New Roman" w:cs="Times New Roman"/>
          <w:sz w:val="24"/>
          <w:szCs w:val="24"/>
          <w:lang w:val="en-GB"/>
        </w:rPr>
        <w:footnoteReference w:id="39"/>
      </w:r>
      <w:r w:rsidRPr="00D9330B">
        <w:rPr>
          <w:rFonts w:ascii="Times New Roman" w:hAnsi="Times New Roman" w:cs="Times New Roman"/>
          <w:sz w:val="24"/>
          <w:szCs w:val="24"/>
          <w:lang w:val="en-GB"/>
        </w:rPr>
        <w:t xml:space="preserve"> Nevertheless, the importance of this variable should not be exaggerated, since even the total public revenues of major natural resource producers like Bolivia and Venezuela are far lower than those of Brazil.</w:t>
      </w:r>
      <w:r w:rsidRPr="00D9330B">
        <w:rPr>
          <w:rStyle w:val="FootnoteReference"/>
          <w:rFonts w:ascii="Times New Roman" w:hAnsi="Times New Roman" w:cs="Times New Roman"/>
          <w:sz w:val="24"/>
          <w:szCs w:val="24"/>
          <w:lang w:val="en-GB"/>
        </w:rPr>
        <w:footnoteReference w:id="40"/>
      </w:r>
      <w:r w:rsidRPr="00D9330B">
        <w:rPr>
          <w:rFonts w:ascii="Times New Roman" w:hAnsi="Times New Roman" w:cs="Times New Roman"/>
          <w:sz w:val="24"/>
          <w:szCs w:val="24"/>
          <w:lang w:val="en-GB"/>
        </w:rPr>
        <w:t xml:space="preserve"> Thus, the high tax burden in Brazil reflects an exceptionally large public sector, rather than simply a need to compensate </w:t>
      </w:r>
      <w:r w:rsidR="00CF180A">
        <w:rPr>
          <w:rFonts w:ascii="Times New Roman" w:hAnsi="Times New Roman" w:cs="Times New Roman"/>
          <w:sz w:val="24"/>
          <w:szCs w:val="24"/>
          <w:lang w:val="en-GB"/>
        </w:rPr>
        <w:t>for a lack of non-tax revenues.</w:t>
      </w:r>
    </w:p>
    <w:p w:rsidR="00C00A9B" w:rsidRPr="00D9330B" w:rsidRDefault="00C87EC4" w:rsidP="00C87EC4">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Works that emphasise</w:t>
      </w:r>
      <w:r w:rsidR="00656385">
        <w:rPr>
          <w:rFonts w:ascii="Times New Roman" w:hAnsi="Times New Roman" w:cs="Times New Roman"/>
          <w:sz w:val="24"/>
          <w:szCs w:val="24"/>
          <w:lang w:val="en-GB"/>
        </w:rPr>
        <w:t xml:space="preserve"> the </w:t>
      </w:r>
      <w:r>
        <w:rPr>
          <w:rFonts w:ascii="Times New Roman" w:hAnsi="Times New Roman" w:cs="Times New Roman"/>
          <w:sz w:val="24"/>
          <w:szCs w:val="24"/>
          <w:lang w:val="en-GB"/>
        </w:rPr>
        <w:t>role of specific political</w:t>
      </w:r>
      <w:r w:rsidR="00656385">
        <w:rPr>
          <w:rFonts w:ascii="Times New Roman" w:hAnsi="Times New Roman" w:cs="Times New Roman"/>
          <w:sz w:val="24"/>
          <w:szCs w:val="24"/>
          <w:lang w:val="en-GB"/>
        </w:rPr>
        <w:t xml:space="preserve"> actors</w:t>
      </w:r>
      <w:r>
        <w:rPr>
          <w:rFonts w:ascii="Times New Roman" w:hAnsi="Times New Roman" w:cs="Times New Roman"/>
          <w:sz w:val="24"/>
          <w:szCs w:val="24"/>
          <w:lang w:val="en-GB"/>
        </w:rPr>
        <w:t xml:space="preserve"> in shaping tax policy</w:t>
      </w:r>
      <w:r w:rsidR="00656385">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lso shed light on </w:t>
      </w:r>
      <w:r w:rsidR="00711304">
        <w:rPr>
          <w:rFonts w:ascii="Times New Roman" w:hAnsi="Times New Roman" w:cs="Times New Roman"/>
          <w:sz w:val="24"/>
          <w:szCs w:val="24"/>
          <w:lang w:val="en-GB"/>
        </w:rPr>
        <w:t>certain features</w:t>
      </w:r>
      <w:r>
        <w:rPr>
          <w:rFonts w:ascii="Times New Roman" w:hAnsi="Times New Roman" w:cs="Times New Roman"/>
          <w:sz w:val="24"/>
          <w:szCs w:val="24"/>
          <w:lang w:val="en-GB"/>
        </w:rPr>
        <w:t xml:space="preserve"> of</w:t>
      </w:r>
      <w:r w:rsidR="001C7151">
        <w:rPr>
          <w:rFonts w:ascii="Times New Roman" w:hAnsi="Times New Roman" w:cs="Times New Roman"/>
          <w:sz w:val="24"/>
          <w:szCs w:val="24"/>
          <w:lang w:val="en-GB"/>
        </w:rPr>
        <w:t xml:space="preserve"> the Brazilian case, but they cannot account for others</w:t>
      </w:r>
      <w:r>
        <w:rPr>
          <w:rFonts w:ascii="Times New Roman" w:hAnsi="Times New Roman" w:cs="Times New Roman"/>
          <w:sz w:val="24"/>
          <w:szCs w:val="24"/>
          <w:lang w:val="en-GB"/>
        </w:rPr>
        <w:t>. A number of scholars have</w:t>
      </w:r>
      <w:r w:rsidR="00656385">
        <w:rPr>
          <w:rFonts w:ascii="Times New Roman" w:hAnsi="Times New Roman" w:cs="Times New Roman"/>
          <w:sz w:val="24"/>
          <w:szCs w:val="24"/>
          <w:lang w:val="en-GB"/>
        </w:rPr>
        <w:t xml:space="preserve"> argue</w:t>
      </w:r>
      <w:r>
        <w:rPr>
          <w:rFonts w:ascii="Times New Roman" w:hAnsi="Times New Roman" w:cs="Times New Roman"/>
          <w:sz w:val="24"/>
          <w:szCs w:val="24"/>
          <w:lang w:val="en-GB"/>
        </w:rPr>
        <w:t>d</w:t>
      </w:r>
      <w:r w:rsidR="00656385">
        <w:rPr>
          <w:rFonts w:ascii="Times New Roman" w:hAnsi="Times New Roman" w:cs="Times New Roman"/>
          <w:sz w:val="24"/>
          <w:szCs w:val="24"/>
          <w:lang w:val="en-GB"/>
        </w:rPr>
        <w:t xml:space="preserve"> that the magnitude of the tax burden is a function of </w:t>
      </w:r>
      <w:r w:rsidR="00C00A9B" w:rsidRPr="00D9330B">
        <w:rPr>
          <w:rFonts w:ascii="Times New Roman" w:hAnsi="Times New Roman" w:cs="Times New Roman"/>
          <w:sz w:val="24"/>
          <w:szCs w:val="24"/>
          <w:lang w:val="en-GB"/>
        </w:rPr>
        <w:t>the strength of organisations, particularly unions and left-leaning parties, representing lower-class interests.</w:t>
      </w:r>
      <w:r w:rsidR="00C00A9B" w:rsidRPr="00D9330B">
        <w:rPr>
          <w:rStyle w:val="FootnoteReference"/>
          <w:rFonts w:ascii="Times New Roman" w:hAnsi="Times New Roman" w:cs="Times New Roman"/>
          <w:sz w:val="24"/>
          <w:szCs w:val="24"/>
          <w:lang w:val="en-GB"/>
        </w:rPr>
        <w:footnoteReference w:id="41"/>
      </w:r>
      <w:r w:rsidR="00C00A9B" w:rsidRPr="00D9330B">
        <w:rPr>
          <w:rFonts w:ascii="Times New Roman" w:hAnsi="Times New Roman" w:cs="Times New Roman"/>
          <w:sz w:val="24"/>
          <w:szCs w:val="24"/>
          <w:lang w:val="en-GB"/>
        </w:rPr>
        <w:t xml:space="preserve"> Where such organisations are strong taxes tend to be higher. This perspective parallels the </w:t>
      </w:r>
      <w:r w:rsidR="00C00A9B" w:rsidRPr="00D9330B">
        <w:rPr>
          <w:rFonts w:ascii="Times New Roman" w:hAnsi="Times New Roman" w:cs="Times New Roman"/>
          <w:sz w:val="24"/>
          <w:szCs w:val="24"/>
          <w:lang w:val="en-GB"/>
        </w:rPr>
        <w:lastRenderedPageBreak/>
        <w:t>‘</w:t>
      </w:r>
      <w:r w:rsidR="00C00A9B">
        <w:rPr>
          <w:rFonts w:ascii="Times New Roman" w:hAnsi="Times New Roman" w:cs="Times New Roman"/>
          <w:sz w:val="24"/>
          <w:szCs w:val="24"/>
          <w:lang w:val="en-GB"/>
        </w:rPr>
        <w:t>power resources</w:t>
      </w:r>
      <w:r w:rsidR="00C00A9B" w:rsidRPr="00D9330B">
        <w:rPr>
          <w:rFonts w:ascii="Times New Roman" w:hAnsi="Times New Roman" w:cs="Times New Roman"/>
          <w:sz w:val="24"/>
          <w:szCs w:val="24"/>
          <w:lang w:val="en-GB"/>
        </w:rPr>
        <w:t>’ school of welfare state research, which sees working and salaried middle class political organisation as the key determinant of social spending under democracy.</w:t>
      </w:r>
      <w:r w:rsidR="00C00A9B" w:rsidRPr="00D9330B">
        <w:rPr>
          <w:rStyle w:val="FootnoteReference"/>
          <w:rFonts w:ascii="Times New Roman" w:hAnsi="Times New Roman" w:cs="Times New Roman"/>
          <w:sz w:val="24"/>
          <w:szCs w:val="24"/>
          <w:lang w:val="en-GB"/>
        </w:rPr>
        <w:footnoteReference w:id="42"/>
      </w:r>
    </w:p>
    <w:p w:rsidR="00C00A9B" w:rsidRDefault="00711304" w:rsidP="00C00A9B">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Some</w:t>
      </w:r>
      <w:r w:rsidR="00C00A9B" w:rsidRPr="00D9330B">
        <w:rPr>
          <w:rFonts w:ascii="Times New Roman" w:hAnsi="Times New Roman" w:cs="Times New Roman"/>
          <w:sz w:val="24"/>
          <w:szCs w:val="24"/>
          <w:lang w:val="en-GB"/>
        </w:rPr>
        <w:t xml:space="preserve"> aspects of Bra</w:t>
      </w:r>
      <w:r w:rsidR="00C87EC4">
        <w:rPr>
          <w:rFonts w:ascii="Times New Roman" w:hAnsi="Times New Roman" w:cs="Times New Roman"/>
          <w:sz w:val="24"/>
          <w:szCs w:val="24"/>
          <w:lang w:val="en-GB"/>
        </w:rPr>
        <w:t>zil’s contemporary reality</w:t>
      </w:r>
      <w:r w:rsidR="00C00A9B" w:rsidRPr="00D9330B">
        <w:rPr>
          <w:rFonts w:ascii="Times New Roman" w:hAnsi="Times New Roman" w:cs="Times New Roman"/>
          <w:sz w:val="24"/>
          <w:szCs w:val="24"/>
          <w:lang w:val="en-GB"/>
        </w:rPr>
        <w:t xml:space="preserve"> seem to fit this view. Since 2003 the presidency has been held by the left-of-centre </w:t>
      </w:r>
      <w:proofErr w:type="spellStart"/>
      <w:r w:rsidR="00C00A9B" w:rsidRPr="00D9330B">
        <w:rPr>
          <w:rFonts w:ascii="Times New Roman" w:hAnsi="Times New Roman" w:cs="Times New Roman"/>
          <w:sz w:val="24"/>
          <w:szCs w:val="24"/>
          <w:lang w:val="en-GB"/>
        </w:rPr>
        <w:t>Partido</w:t>
      </w:r>
      <w:proofErr w:type="spellEnd"/>
      <w:r w:rsidR="00C00A9B" w:rsidRPr="00D9330B">
        <w:rPr>
          <w:rFonts w:ascii="Times New Roman" w:hAnsi="Times New Roman" w:cs="Times New Roman"/>
          <w:sz w:val="24"/>
          <w:szCs w:val="24"/>
          <w:lang w:val="en-GB"/>
        </w:rPr>
        <w:t xml:space="preserve"> dos </w:t>
      </w:r>
      <w:proofErr w:type="spellStart"/>
      <w:r w:rsidR="00C00A9B" w:rsidRPr="00D9330B">
        <w:rPr>
          <w:rFonts w:ascii="Times New Roman" w:hAnsi="Times New Roman" w:cs="Times New Roman"/>
          <w:sz w:val="24"/>
          <w:szCs w:val="24"/>
          <w:lang w:val="en-GB"/>
        </w:rPr>
        <w:t>Trabalhadores</w:t>
      </w:r>
      <w:proofErr w:type="spellEnd"/>
      <w:r w:rsidR="00C00A9B" w:rsidRPr="00D9330B">
        <w:rPr>
          <w:rFonts w:ascii="Times New Roman" w:hAnsi="Times New Roman" w:cs="Times New Roman"/>
          <w:sz w:val="24"/>
          <w:szCs w:val="24"/>
          <w:lang w:val="en-GB"/>
        </w:rPr>
        <w:t xml:space="preserve"> (Workers’ Party, PT), which has strong ties to labour. Moreover, Brazil’s w</w:t>
      </w:r>
      <w:r w:rsidR="00C87EC4">
        <w:rPr>
          <w:rFonts w:ascii="Times New Roman" w:hAnsi="Times New Roman" w:cs="Times New Roman"/>
          <w:sz w:val="24"/>
          <w:szCs w:val="24"/>
          <w:lang w:val="en-GB"/>
        </w:rPr>
        <w:t>orkforce is currently among the</w:t>
      </w:r>
      <w:r w:rsidR="00C00A9B" w:rsidRPr="00D9330B">
        <w:rPr>
          <w:rFonts w:ascii="Times New Roman" w:hAnsi="Times New Roman" w:cs="Times New Roman"/>
          <w:sz w:val="24"/>
          <w:szCs w:val="24"/>
          <w:lang w:val="en-GB"/>
        </w:rPr>
        <w:t xml:space="preserve"> most unionised in Latin America, trailing only that of Argentina.</w:t>
      </w:r>
      <w:r w:rsidR="00C00A9B" w:rsidRPr="00D9330B">
        <w:rPr>
          <w:rStyle w:val="FootnoteReference"/>
          <w:rFonts w:ascii="Times New Roman" w:hAnsi="Times New Roman" w:cs="Times New Roman"/>
          <w:sz w:val="24"/>
          <w:szCs w:val="24"/>
          <w:lang w:val="en-GB"/>
        </w:rPr>
        <w:footnoteReference w:id="43"/>
      </w:r>
      <w:r w:rsidR="00C00A9B" w:rsidRPr="00D9330B">
        <w:rPr>
          <w:rFonts w:ascii="Times New Roman" w:hAnsi="Times New Roman" w:cs="Times New Roman"/>
          <w:sz w:val="24"/>
          <w:szCs w:val="24"/>
          <w:lang w:val="en-GB"/>
        </w:rPr>
        <w:t xml:space="preserve"> Nevertheless, clo</w:t>
      </w:r>
      <w:r w:rsidR="0053318E">
        <w:rPr>
          <w:rFonts w:ascii="Times New Roman" w:hAnsi="Times New Roman" w:cs="Times New Roman"/>
          <w:sz w:val="24"/>
          <w:szCs w:val="24"/>
          <w:lang w:val="en-GB"/>
        </w:rPr>
        <w:t>ser inspection reveals</w:t>
      </w:r>
      <w:r w:rsidR="00C00A9B" w:rsidRPr="00D9330B">
        <w:rPr>
          <w:rFonts w:ascii="Times New Roman" w:hAnsi="Times New Roman" w:cs="Times New Roman"/>
          <w:sz w:val="24"/>
          <w:szCs w:val="24"/>
          <w:lang w:val="en-GB"/>
        </w:rPr>
        <w:t xml:space="preserve"> limitations to this explanation. In particular, Brazil’s tax burden was already the highest in the region even before the PT came to power. In fact, this distinction goes back to the era of conservative military rule (1964-1985). Pro-worker organisations, as argued below, have indeed contributed to rising taxation in recent decades by defending a system of heavy social spending. However, Brazil’s initial rise to the status of the most heavily taxed society in the region occurred for reasons other than popular pressure for redistribution.</w:t>
      </w:r>
    </w:p>
    <w:p w:rsidR="00C00A9B" w:rsidRDefault="00C87EC4" w:rsidP="00C00A9B">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While this litera</w:t>
      </w:r>
      <w:r w:rsidR="007D3287">
        <w:rPr>
          <w:rFonts w:ascii="Times New Roman" w:hAnsi="Times New Roman" w:cs="Times New Roman"/>
          <w:sz w:val="24"/>
          <w:szCs w:val="24"/>
          <w:lang w:val="en-GB"/>
        </w:rPr>
        <w:t>ture stress</w:t>
      </w:r>
      <w:r w:rsidR="00F1485F">
        <w:rPr>
          <w:rFonts w:ascii="Times New Roman" w:hAnsi="Times New Roman" w:cs="Times New Roman"/>
          <w:sz w:val="24"/>
          <w:szCs w:val="24"/>
          <w:lang w:val="en-GB"/>
        </w:rPr>
        <w:t>es</w:t>
      </w:r>
      <w:r w:rsidR="007D3287">
        <w:rPr>
          <w:rFonts w:ascii="Times New Roman" w:hAnsi="Times New Roman" w:cs="Times New Roman"/>
          <w:sz w:val="24"/>
          <w:szCs w:val="24"/>
          <w:lang w:val="en-GB"/>
        </w:rPr>
        <w:t xml:space="preserve"> popular sector influence</w:t>
      </w:r>
      <w:r>
        <w:rPr>
          <w:rFonts w:ascii="Times New Roman" w:hAnsi="Times New Roman" w:cs="Times New Roman"/>
          <w:sz w:val="24"/>
          <w:szCs w:val="24"/>
          <w:lang w:val="en-GB"/>
        </w:rPr>
        <w:t>,</w:t>
      </w:r>
      <w:r w:rsidR="00C0569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number </w:t>
      </w:r>
      <w:r w:rsidR="00C0569B">
        <w:rPr>
          <w:rFonts w:ascii="Times New Roman" w:hAnsi="Times New Roman" w:cs="Times New Roman"/>
          <w:sz w:val="24"/>
          <w:szCs w:val="24"/>
          <w:lang w:val="en-GB"/>
        </w:rPr>
        <w:t>recent works</w:t>
      </w:r>
      <w:r w:rsidR="00C00A9B">
        <w:rPr>
          <w:rFonts w:ascii="Times New Roman" w:hAnsi="Times New Roman" w:cs="Times New Roman"/>
          <w:sz w:val="24"/>
          <w:szCs w:val="24"/>
          <w:lang w:val="en-GB"/>
        </w:rPr>
        <w:t xml:space="preserve"> on Latin A</w:t>
      </w:r>
      <w:r w:rsidR="00997C5F">
        <w:rPr>
          <w:rFonts w:ascii="Times New Roman" w:hAnsi="Times New Roman" w:cs="Times New Roman"/>
          <w:sz w:val="24"/>
          <w:szCs w:val="24"/>
          <w:lang w:val="en-GB"/>
        </w:rPr>
        <w:t>merica share a common emphasis on</w:t>
      </w:r>
      <w:r w:rsidR="00C0569B">
        <w:rPr>
          <w:rFonts w:ascii="Times New Roman" w:hAnsi="Times New Roman" w:cs="Times New Roman"/>
          <w:sz w:val="24"/>
          <w:szCs w:val="24"/>
          <w:lang w:val="en-GB"/>
        </w:rPr>
        <w:t xml:space="preserve"> how</w:t>
      </w:r>
      <w:r w:rsidR="00C00A9B">
        <w:rPr>
          <w:rFonts w:ascii="Times New Roman" w:hAnsi="Times New Roman" w:cs="Times New Roman"/>
          <w:sz w:val="24"/>
          <w:szCs w:val="24"/>
          <w:lang w:val="en-GB"/>
        </w:rPr>
        <w:t xml:space="preserve"> </w:t>
      </w:r>
      <w:r w:rsidR="00C0569B">
        <w:rPr>
          <w:rFonts w:ascii="Times New Roman" w:hAnsi="Times New Roman" w:cs="Times New Roman"/>
          <w:sz w:val="24"/>
          <w:szCs w:val="24"/>
          <w:lang w:val="en-GB"/>
        </w:rPr>
        <w:t xml:space="preserve">the </w:t>
      </w:r>
      <w:r w:rsidR="00C00A9B">
        <w:rPr>
          <w:rFonts w:ascii="Times New Roman" w:hAnsi="Times New Roman" w:cs="Times New Roman"/>
          <w:sz w:val="24"/>
          <w:szCs w:val="24"/>
          <w:lang w:val="en-GB"/>
        </w:rPr>
        <w:t>political cohesion</w:t>
      </w:r>
      <w:r w:rsidR="00C0569B">
        <w:rPr>
          <w:rFonts w:ascii="Times New Roman" w:hAnsi="Times New Roman" w:cs="Times New Roman"/>
          <w:sz w:val="24"/>
          <w:szCs w:val="24"/>
          <w:lang w:val="en-GB"/>
        </w:rPr>
        <w:t xml:space="preserve"> of economic elites affects tax policy</w:t>
      </w:r>
      <w:r w:rsidR="00C00A9B">
        <w:rPr>
          <w:rFonts w:ascii="Times New Roman" w:hAnsi="Times New Roman" w:cs="Times New Roman"/>
          <w:sz w:val="24"/>
          <w:szCs w:val="24"/>
          <w:lang w:val="en-GB"/>
        </w:rPr>
        <w:t>. Ironically, though, they differ on the crucial question of whether cohesion facilitates or impedes taxation.</w:t>
      </w:r>
      <w:r w:rsidR="00C00A9B" w:rsidRPr="004A08AB">
        <w:t xml:space="preserve"> </w:t>
      </w:r>
      <w:r w:rsidR="00C00A9B" w:rsidRPr="004A08AB">
        <w:rPr>
          <w:rFonts w:ascii="Times New Roman" w:hAnsi="Times New Roman" w:cs="Times New Roman"/>
          <w:sz w:val="24"/>
          <w:szCs w:val="24"/>
          <w:lang w:val="en-GB"/>
        </w:rPr>
        <w:t>Compa</w:t>
      </w:r>
      <w:r w:rsidR="00C00A9B">
        <w:rPr>
          <w:rFonts w:ascii="Times New Roman" w:hAnsi="Times New Roman" w:cs="Times New Roman"/>
          <w:sz w:val="24"/>
          <w:szCs w:val="24"/>
          <w:lang w:val="en-GB"/>
        </w:rPr>
        <w:t>ring attempts to increase direct</w:t>
      </w:r>
      <w:r w:rsidR="00C00A9B" w:rsidRPr="004A08AB">
        <w:rPr>
          <w:rFonts w:ascii="Times New Roman" w:hAnsi="Times New Roman" w:cs="Times New Roman"/>
          <w:sz w:val="24"/>
          <w:szCs w:val="24"/>
          <w:lang w:val="en-GB"/>
        </w:rPr>
        <w:t xml:space="preserve"> taxation in Argen</w:t>
      </w:r>
      <w:r w:rsidR="00C00A9B">
        <w:rPr>
          <w:rFonts w:ascii="Times New Roman" w:hAnsi="Times New Roman" w:cs="Times New Roman"/>
          <w:sz w:val="24"/>
          <w:szCs w:val="24"/>
          <w:lang w:val="en-GB"/>
        </w:rPr>
        <w:t>tina and Chile, Fairfield</w:t>
      </w:r>
      <w:r w:rsidR="00C00A9B" w:rsidRPr="004A08AB">
        <w:rPr>
          <w:rFonts w:ascii="Times New Roman" w:hAnsi="Times New Roman" w:cs="Times New Roman"/>
          <w:sz w:val="24"/>
          <w:szCs w:val="24"/>
          <w:lang w:val="en-GB"/>
        </w:rPr>
        <w:t xml:space="preserve"> a</w:t>
      </w:r>
      <w:r w:rsidR="00C00A9B">
        <w:rPr>
          <w:rFonts w:ascii="Times New Roman" w:hAnsi="Times New Roman" w:cs="Times New Roman"/>
          <w:sz w:val="24"/>
          <w:szCs w:val="24"/>
          <w:lang w:val="en-GB"/>
        </w:rPr>
        <w:t>rgues that the greater</w:t>
      </w:r>
      <w:r w:rsidR="00C00A9B" w:rsidRPr="004A08AB">
        <w:rPr>
          <w:rFonts w:ascii="Times New Roman" w:hAnsi="Times New Roman" w:cs="Times New Roman"/>
          <w:sz w:val="24"/>
          <w:szCs w:val="24"/>
          <w:lang w:val="en-GB"/>
        </w:rPr>
        <w:t xml:space="preserve"> coh</w:t>
      </w:r>
      <w:r w:rsidR="00C00A9B">
        <w:rPr>
          <w:rFonts w:ascii="Times New Roman" w:hAnsi="Times New Roman" w:cs="Times New Roman"/>
          <w:sz w:val="24"/>
          <w:szCs w:val="24"/>
          <w:lang w:val="en-GB"/>
        </w:rPr>
        <w:t>esion of Chilean business</w:t>
      </w:r>
      <w:r w:rsidR="00C00A9B" w:rsidRPr="004A08AB">
        <w:rPr>
          <w:rFonts w:ascii="Times New Roman" w:hAnsi="Times New Roman" w:cs="Times New Roman"/>
          <w:sz w:val="24"/>
          <w:szCs w:val="24"/>
          <w:lang w:val="en-GB"/>
        </w:rPr>
        <w:t xml:space="preserve"> explains why such efforts were less </w:t>
      </w:r>
      <w:r w:rsidR="00C00A9B" w:rsidRPr="004A08AB">
        <w:rPr>
          <w:rFonts w:ascii="Times New Roman" w:hAnsi="Times New Roman" w:cs="Times New Roman"/>
          <w:sz w:val="24"/>
          <w:szCs w:val="24"/>
          <w:lang w:val="en-GB"/>
        </w:rPr>
        <w:lastRenderedPageBreak/>
        <w:t>successful in that coun</w:t>
      </w:r>
      <w:r w:rsidR="00C00A9B">
        <w:rPr>
          <w:rFonts w:ascii="Times New Roman" w:hAnsi="Times New Roman" w:cs="Times New Roman"/>
          <w:sz w:val="24"/>
          <w:szCs w:val="24"/>
          <w:lang w:val="en-GB"/>
        </w:rPr>
        <w:t>try.</w:t>
      </w:r>
      <w:r w:rsidR="00C00A9B">
        <w:rPr>
          <w:rStyle w:val="FootnoteReference"/>
          <w:rFonts w:ascii="Times New Roman" w:hAnsi="Times New Roman" w:cs="Times New Roman"/>
          <w:sz w:val="24"/>
          <w:szCs w:val="24"/>
          <w:lang w:val="en-GB"/>
        </w:rPr>
        <w:footnoteReference w:id="44"/>
      </w:r>
      <w:r w:rsidR="00C00A9B">
        <w:rPr>
          <w:rFonts w:ascii="Times New Roman" w:hAnsi="Times New Roman" w:cs="Times New Roman"/>
          <w:sz w:val="24"/>
          <w:szCs w:val="24"/>
          <w:lang w:val="en-GB"/>
        </w:rPr>
        <w:t xml:space="preserve"> Meanwhile, Schneider finds</w:t>
      </w:r>
      <w:r w:rsidR="00C00A9B" w:rsidRPr="004A08AB">
        <w:rPr>
          <w:rFonts w:ascii="Times New Roman" w:hAnsi="Times New Roman" w:cs="Times New Roman"/>
          <w:sz w:val="24"/>
          <w:szCs w:val="24"/>
          <w:lang w:val="en-GB"/>
        </w:rPr>
        <w:t xml:space="preserve"> </w:t>
      </w:r>
      <w:r w:rsidR="00C00A9B">
        <w:rPr>
          <w:rFonts w:ascii="Times New Roman" w:hAnsi="Times New Roman" w:cs="Times New Roman"/>
          <w:sz w:val="24"/>
          <w:szCs w:val="24"/>
          <w:lang w:val="en-GB"/>
        </w:rPr>
        <w:t>that elite coh</w:t>
      </w:r>
      <w:r w:rsidR="0053318E">
        <w:rPr>
          <w:rFonts w:ascii="Times New Roman" w:hAnsi="Times New Roman" w:cs="Times New Roman"/>
          <w:sz w:val="24"/>
          <w:szCs w:val="24"/>
          <w:lang w:val="en-GB"/>
        </w:rPr>
        <w:t>esion is</w:t>
      </w:r>
      <w:r w:rsidR="00C00A9B">
        <w:rPr>
          <w:rFonts w:ascii="Times New Roman" w:hAnsi="Times New Roman" w:cs="Times New Roman"/>
          <w:sz w:val="24"/>
          <w:szCs w:val="24"/>
          <w:lang w:val="en-GB"/>
        </w:rPr>
        <w:t xml:space="preserve"> correlated with heavier</w:t>
      </w:r>
      <w:r w:rsidR="00C00A9B" w:rsidRPr="004A08AB">
        <w:rPr>
          <w:rFonts w:ascii="Times New Roman" w:hAnsi="Times New Roman" w:cs="Times New Roman"/>
          <w:sz w:val="24"/>
          <w:szCs w:val="24"/>
          <w:lang w:val="en-GB"/>
        </w:rPr>
        <w:t xml:space="preserve"> taxation in Central America, since elites who are united enough to impose </w:t>
      </w:r>
      <w:r w:rsidR="00C00A9B">
        <w:rPr>
          <w:rFonts w:ascii="Times New Roman" w:hAnsi="Times New Roman" w:cs="Times New Roman"/>
          <w:sz w:val="24"/>
          <w:szCs w:val="24"/>
          <w:lang w:val="en-GB"/>
        </w:rPr>
        <w:t>their own political</w:t>
      </w:r>
      <w:r w:rsidR="00C00A9B" w:rsidRPr="004A08AB">
        <w:rPr>
          <w:rFonts w:ascii="Times New Roman" w:hAnsi="Times New Roman" w:cs="Times New Roman"/>
          <w:sz w:val="24"/>
          <w:szCs w:val="24"/>
          <w:lang w:val="en-GB"/>
        </w:rPr>
        <w:t xml:space="preserve"> project on the state are also more willing to pr</w:t>
      </w:r>
      <w:r w:rsidR="00C00A9B">
        <w:rPr>
          <w:rFonts w:ascii="Times New Roman" w:hAnsi="Times New Roman" w:cs="Times New Roman"/>
          <w:sz w:val="24"/>
          <w:szCs w:val="24"/>
          <w:lang w:val="en-GB"/>
        </w:rPr>
        <w:t>ovide revenues to fund it.</w:t>
      </w:r>
      <w:r w:rsidR="00C00A9B">
        <w:rPr>
          <w:rStyle w:val="FootnoteReference"/>
          <w:rFonts w:ascii="Times New Roman" w:hAnsi="Times New Roman" w:cs="Times New Roman"/>
          <w:sz w:val="24"/>
          <w:szCs w:val="24"/>
          <w:lang w:val="en-GB"/>
        </w:rPr>
        <w:footnoteReference w:id="45"/>
      </w:r>
      <w:r w:rsidR="00C00A9B">
        <w:rPr>
          <w:rFonts w:ascii="Times New Roman" w:hAnsi="Times New Roman" w:cs="Times New Roman"/>
          <w:sz w:val="24"/>
          <w:szCs w:val="24"/>
          <w:lang w:val="en-GB"/>
        </w:rPr>
        <w:t xml:space="preserve"> Lieberman and Flores</w:t>
      </w:r>
      <w:r w:rsidR="00C00A9B">
        <w:rPr>
          <w:rFonts w:ascii="Times New Roman" w:hAnsi="Times New Roman" w:cs="Times New Roman"/>
          <w:sz w:val="24"/>
          <w:szCs w:val="24"/>
          <w:lang w:val="en-GB"/>
        </w:rPr>
        <w:softHyphen/>
        <w:t>-</w:t>
      </w:r>
      <w:proofErr w:type="spellStart"/>
      <w:r w:rsidR="00C00A9B">
        <w:rPr>
          <w:rFonts w:ascii="Times New Roman" w:hAnsi="Times New Roman" w:cs="Times New Roman"/>
          <w:sz w:val="24"/>
          <w:szCs w:val="24"/>
          <w:lang w:val="en-GB"/>
        </w:rPr>
        <w:t>Macías</w:t>
      </w:r>
      <w:proofErr w:type="spellEnd"/>
      <w:r w:rsidR="00C00A9B">
        <w:rPr>
          <w:rFonts w:ascii="Times New Roman" w:hAnsi="Times New Roman" w:cs="Times New Roman"/>
          <w:sz w:val="24"/>
          <w:szCs w:val="24"/>
          <w:lang w:val="en-GB"/>
        </w:rPr>
        <w:t xml:space="preserve"> reach similar conclusio</w:t>
      </w:r>
      <w:r w:rsidR="0053318E">
        <w:rPr>
          <w:rFonts w:ascii="Times New Roman" w:hAnsi="Times New Roman" w:cs="Times New Roman"/>
          <w:sz w:val="24"/>
          <w:szCs w:val="24"/>
          <w:lang w:val="en-GB"/>
        </w:rPr>
        <w:t>ns, the first with regard to</w:t>
      </w:r>
      <w:r w:rsidR="00C00A9B">
        <w:rPr>
          <w:rFonts w:ascii="Times New Roman" w:hAnsi="Times New Roman" w:cs="Times New Roman"/>
          <w:sz w:val="24"/>
          <w:szCs w:val="24"/>
          <w:lang w:val="en-GB"/>
        </w:rPr>
        <w:t xml:space="preserve"> difference</w:t>
      </w:r>
      <w:r w:rsidR="0053318E">
        <w:rPr>
          <w:rFonts w:ascii="Times New Roman" w:hAnsi="Times New Roman" w:cs="Times New Roman"/>
          <w:sz w:val="24"/>
          <w:szCs w:val="24"/>
          <w:lang w:val="en-GB"/>
        </w:rPr>
        <w:t>s</w:t>
      </w:r>
      <w:r w:rsidR="00C00A9B">
        <w:rPr>
          <w:rFonts w:ascii="Times New Roman" w:hAnsi="Times New Roman" w:cs="Times New Roman"/>
          <w:sz w:val="24"/>
          <w:szCs w:val="24"/>
          <w:lang w:val="en-GB"/>
        </w:rPr>
        <w:t xml:space="preserve"> in direct taxation between South Africa and Brazil and the second in reference to the approval of a</w:t>
      </w:r>
      <w:r w:rsidR="0053318E">
        <w:rPr>
          <w:rFonts w:ascii="Times New Roman" w:hAnsi="Times New Roman" w:cs="Times New Roman"/>
          <w:sz w:val="24"/>
          <w:szCs w:val="24"/>
          <w:lang w:val="en-GB"/>
        </w:rPr>
        <w:t xml:space="preserve"> dedicated tax in Colombia to fund</w:t>
      </w:r>
      <w:r w:rsidR="00C00A9B">
        <w:rPr>
          <w:rFonts w:ascii="Times New Roman" w:hAnsi="Times New Roman" w:cs="Times New Roman"/>
          <w:sz w:val="24"/>
          <w:szCs w:val="24"/>
          <w:lang w:val="en-GB"/>
        </w:rPr>
        <w:t xml:space="preserve"> security forces.</w:t>
      </w:r>
      <w:r w:rsidR="00C00A9B">
        <w:rPr>
          <w:rStyle w:val="FootnoteReference"/>
          <w:rFonts w:ascii="Times New Roman" w:hAnsi="Times New Roman" w:cs="Times New Roman"/>
          <w:sz w:val="24"/>
          <w:szCs w:val="24"/>
          <w:lang w:val="en-GB"/>
        </w:rPr>
        <w:footnoteReference w:id="46"/>
      </w:r>
    </w:p>
    <w:p w:rsidR="00C00A9B" w:rsidRDefault="0053318E" w:rsidP="00C00A9B">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At least when compared to other Latin American countries, the</w:t>
      </w:r>
      <w:r w:rsidR="00C00A9B">
        <w:rPr>
          <w:rFonts w:ascii="Times New Roman" w:hAnsi="Times New Roman" w:cs="Times New Roman"/>
          <w:sz w:val="24"/>
          <w:szCs w:val="24"/>
          <w:lang w:val="en-GB"/>
        </w:rPr>
        <w:t xml:space="preserve"> Brazilian case would seem to favour Fairf</w:t>
      </w:r>
      <w:r w:rsidR="00E36DCD">
        <w:rPr>
          <w:rFonts w:ascii="Times New Roman" w:hAnsi="Times New Roman" w:cs="Times New Roman"/>
          <w:sz w:val="24"/>
          <w:szCs w:val="24"/>
          <w:lang w:val="en-GB"/>
        </w:rPr>
        <w:t>ield’s position</w:t>
      </w:r>
      <w:r w:rsidR="00C00A9B">
        <w:rPr>
          <w:rFonts w:ascii="Times New Roman" w:hAnsi="Times New Roman" w:cs="Times New Roman"/>
          <w:sz w:val="24"/>
          <w:szCs w:val="24"/>
          <w:lang w:val="en-GB"/>
        </w:rPr>
        <w:t>, since it combine</w:t>
      </w:r>
      <w:r w:rsidR="00997C5F">
        <w:rPr>
          <w:rFonts w:ascii="Times New Roman" w:hAnsi="Times New Roman" w:cs="Times New Roman"/>
          <w:sz w:val="24"/>
          <w:szCs w:val="24"/>
          <w:lang w:val="en-GB"/>
        </w:rPr>
        <w:t>s heavy taxation with what</w:t>
      </w:r>
      <w:r w:rsidR="00C00A9B">
        <w:rPr>
          <w:rFonts w:ascii="Times New Roman" w:hAnsi="Times New Roman" w:cs="Times New Roman"/>
          <w:sz w:val="24"/>
          <w:szCs w:val="24"/>
          <w:lang w:val="en-GB"/>
        </w:rPr>
        <w:t xml:space="preserve"> has</w:t>
      </w:r>
      <w:r w:rsidR="00997C5F">
        <w:rPr>
          <w:rFonts w:ascii="Times New Roman" w:hAnsi="Times New Roman" w:cs="Times New Roman"/>
          <w:sz w:val="24"/>
          <w:szCs w:val="24"/>
          <w:lang w:val="en-GB"/>
        </w:rPr>
        <w:t xml:space="preserve"> sometimes</w:t>
      </w:r>
      <w:r w:rsidR="00C00A9B">
        <w:rPr>
          <w:rFonts w:ascii="Times New Roman" w:hAnsi="Times New Roman" w:cs="Times New Roman"/>
          <w:sz w:val="24"/>
          <w:szCs w:val="24"/>
          <w:lang w:val="en-GB"/>
        </w:rPr>
        <w:t xml:space="preserve"> been characterised as a weakly organised business class, especi</w:t>
      </w:r>
      <w:r w:rsidR="000D12E8">
        <w:rPr>
          <w:rFonts w:ascii="Times New Roman" w:hAnsi="Times New Roman" w:cs="Times New Roman"/>
          <w:sz w:val="24"/>
          <w:szCs w:val="24"/>
          <w:lang w:val="en-GB"/>
        </w:rPr>
        <w:t>ally in terms of the lack of strong encompassing</w:t>
      </w:r>
      <w:r w:rsidR="008A3BB3">
        <w:rPr>
          <w:rFonts w:ascii="Times New Roman" w:hAnsi="Times New Roman" w:cs="Times New Roman"/>
          <w:sz w:val="24"/>
          <w:szCs w:val="24"/>
          <w:lang w:val="en-GB"/>
        </w:rPr>
        <w:t>,</w:t>
      </w:r>
      <w:r w:rsidR="000D12E8">
        <w:rPr>
          <w:rFonts w:ascii="Times New Roman" w:hAnsi="Times New Roman" w:cs="Times New Roman"/>
          <w:sz w:val="24"/>
          <w:szCs w:val="24"/>
          <w:lang w:val="en-GB"/>
        </w:rPr>
        <w:t xml:space="preserve"> or multi-sector</w:t>
      </w:r>
      <w:r w:rsidR="008A3BB3">
        <w:rPr>
          <w:rFonts w:ascii="Times New Roman" w:hAnsi="Times New Roman" w:cs="Times New Roman"/>
          <w:sz w:val="24"/>
          <w:szCs w:val="24"/>
          <w:lang w:val="en-GB"/>
        </w:rPr>
        <w:t>,</w:t>
      </w:r>
      <w:r w:rsidR="000D12E8">
        <w:rPr>
          <w:rFonts w:ascii="Times New Roman" w:hAnsi="Times New Roman" w:cs="Times New Roman"/>
          <w:sz w:val="24"/>
          <w:szCs w:val="24"/>
          <w:lang w:val="en-GB"/>
        </w:rPr>
        <w:t xml:space="preserve"> </w:t>
      </w:r>
      <w:r w:rsidR="00C00A9B">
        <w:rPr>
          <w:rFonts w:ascii="Times New Roman" w:hAnsi="Times New Roman" w:cs="Times New Roman"/>
          <w:sz w:val="24"/>
          <w:szCs w:val="24"/>
          <w:lang w:val="en-GB"/>
        </w:rPr>
        <w:t>associations.</w:t>
      </w:r>
      <w:r w:rsidR="00C00A9B">
        <w:rPr>
          <w:rStyle w:val="FootnoteReference"/>
          <w:rFonts w:ascii="Times New Roman" w:hAnsi="Times New Roman" w:cs="Times New Roman"/>
          <w:sz w:val="24"/>
          <w:szCs w:val="24"/>
          <w:lang w:val="en-GB"/>
        </w:rPr>
        <w:footnoteReference w:id="47"/>
      </w:r>
      <w:r w:rsidR="00C00A9B">
        <w:rPr>
          <w:rFonts w:ascii="Times New Roman" w:hAnsi="Times New Roman" w:cs="Times New Roman"/>
          <w:sz w:val="24"/>
          <w:szCs w:val="24"/>
          <w:lang w:val="en-GB"/>
        </w:rPr>
        <w:t xml:space="preserve"> Moreover, elite resistance to tax increases in </w:t>
      </w:r>
      <w:r w:rsidR="00C00A9B">
        <w:rPr>
          <w:rFonts w:ascii="Times New Roman" w:hAnsi="Times New Roman" w:cs="Times New Roman"/>
          <w:sz w:val="24"/>
          <w:szCs w:val="24"/>
          <w:lang w:val="en-GB"/>
        </w:rPr>
        <w:lastRenderedPageBreak/>
        <w:t xml:space="preserve">Brazil </w:t>
      </w:r>
      <w:r w:rsidR="00035A5E">
        <w:rPr>
          <w:rFonts w:ascii="Times New Roman" w:hAnsi="Times New Roman" w:cs="Times New Roman"/>
          <w:sz w:val="24"/>
          <w:szCs w:val="24"/>
          <w:lang w:val="en-GB"/>
        </w:rPr>
        <w:t>has traditionally been</w:t>
      </w:r>
      <w:r w:rsidR="00C00A9B">
        <w:rPr>
          <w:rFonts w:ascii="Times New Roman" w:hAnsi="Times New Roman" w:cs="Times New Roman"/>
          <w:sz w:val="24"/>
          <w:szCs w:val="24"/>
          <w:lang w:val="en-GB"/>
        </w:rPr>
        <w:t xml:space="preserve"> limited, although it has</w:t>
      </w:r>
      <w:r w:rsidR="00035A5E">
        <w:rPr>
          <w:rFonts w:ascii="Times New Roman" w:hAnsi="Times New Roman" w:cs="Times New Roman"/>
          <w:sz w:val="24"/>
          <w:szCs w:val="24"/>
          <w:lang w:val="en-GB"/>
        </w:rPr>
        <w:t xml:space="preserve"> begun to stiffen</w:t>
      </w:r>
      <w:r w:rsidR="00C00A9B">
        <w:rPr>
          <w:rFonts w:ascii="Times New Roman" w:hAnsi="Times New Roman" w:cs="Times New Roman"/>
          <w:sz w:val="24"/>
          <w:szCs w:val="24"/>
          <w:lang w:val="en-GB"/>
        </w:rPr>
        <w:t xml:space="preserve"> in recent years in response to the unprecedented level of taxation.</w:t>
      </w:r>
      <w:r w:rsidR="00C00A9B">
        <w:rPr>
          <w:rStyle w:val="FootnoteReference"/>
          <w:rFonts w:ascii="Times New Roman" w:hAnsi="Times New Roman" w:cs="Times New Roman"/>
          <w:sz w:val="24"/>
          <w:szCs w:val="24"/>
          <w:lang w:val="en-GB"/>
        </w:rPr>
        <w:footnoteReference w:id="48"/>
      </w:r>
    </w:p>
    <w:p w:rsidR="00E36DCD" w:rsidRDefault="0053318E" w:rsidP="00035A5E">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While</w:t>
      </w:r>
      <w:r w:rsidR="00B369B9">
        <w:rPr>
          <w:rFonts w:ascii="Times New Roman" w:hAnsi="Times New Roman" w:cs="Times New Roman"/>
          <w:sz w:val="24"/>
          <w:szCs w:val="24"/>
          <w:lang w:val="en-GB"/>
        </w:rPr>
        <w:t xml:space="preserve"> F</w:t>
      </w:r>
      <w:r w:rsidR="0069727C">
        <w:rPr>
          <w:rFonts w:ascii="Times New Roman" w:hAnsi="Times New Roman" w:cs="Times New Roman"/>
          <w:sz w:val="24"/>
          <w:szCs w:val="24"/>
          <w:lang w:val="en-GB"/>
        </w:rPr>
        <w:t>airfield’</w:t>
      </w:r>
      <w:r w:rsidR="00B369B9">
        <w:rPr>
          <w:rFonts w:ascii="Times New Roman" w:hAnsi="Times New Roman" w:cs="Times New Roman"/>
          <w:sz w:val="24"/>
          <w:szCs w:val="24"/>
          <w:lang w:val="en-GB"/>
        </w:rPr>
        <w:t>s</w:t>
      </w:r>
      <w:r w:rsidR="000D12E8">
        <w:rPr>
          <w:rFonts w:ascii="Times New Roman" w:hAnsi="Times New Roman" w:cs="Times New Roman"/>
          <w:sz w:val="24"/>
          <w:szCs w:val="24"/>
          <w:lang w:val="en-GB"/>
        </w:rPr>
        <w:t xml:space="preserve"> version of the elite cohesion</w:t>
      </w:r>
      <w:r w:rsidR="00B369B9">
        <w:rPr>
          <w:rFonts w:ascii="Times New Roman" w:hAnsi="Times New Roman" w:cs="Times New Roman"/>
          <w:sz w:val="24"/>
          <w:szCs w:val="24"/>
          <w:lang w:val="en-GB"/>
        </w:rPr>
        <w:t xml:space="preserve"> perspective draws attention to</w:t>
      </w:r>
      <w:r w:rsidR="00C00A9B">
        <w:rPr>
          <w:rFonts w:ascii="Times New Roman" w:hAnsi="Times New Roman" w:cs="Times New Roman"/>
          <w:sz w:val="24"/>
          <w:szCs w:val="24"/>
          <w:lang w:val="en-GB"/>
        </w:rPr>
        <w:t xml:space="preserve"> a significant aspect of the Brazilian </w:t>
      </w:r>
      <w:r w:rsidR="00C0569B">
        <w:rPr>
          <w:rFonts w:ascii="Times New Roman" w:hAnsi="Times New Roman" w:cs="Times New Roman"/>
          <w:sz w:val="24"/>
          <w:szCs w:val="24"/>
          <w:lang w:val="en-GB"/>
        </w:rPr>
        <w:t>case,</w:t>
      </w:r>
      <w:r w:rsidR="00C00A9B">
        <w:rPr>
          <w:rFonts w:ascii="Times New Roman" w:hAnsi="Times New Roman" w:cs="Times New Roman"/>
          <w:sz w:val="24"/>
          <w:szCs w:val="24"/>
          <w:lang w:val="en-GB"/>
        </w:rPr>
        <w:t xml:space="preserve"> it</w:t>
      </w:r>
      <w:r w:rsidR="00C0569B">
        <w:rPr>
          <w:rFonts w:ascii="Times New Roman" w:hAnsi="Times New Roman" w:cs="Times New Roman"/>
          <w:sz w:val="24"/>
          <w:szCs w:val="24"/>
          <w:lang w:val="en-GB"/>
        </w:rPr>
        <w:t xml:space="preserve"> </w:t>
      </w:r>
      <w:r w:rsidR="00E36DCD">
        <w:rPr>
          <w:rFonts w:ascii="Times New Roman" w:hAnsi="Times New Roman" w:cs="Times New Roman"/>
          <w:sz w:val="24"/>
          <w:szCs w:val="24"/>
          <w:lang w:val="en-GB"/>
        </w:rPr>
        <w:t xml:space="preserve">neglects others. </w:t>
      </w:r>
      <w:r w:rsidR="000D12E8">
        <w:rPr>
          <w:rFonts w:ascii="Times New Roman" w:hAnsi="Times New Roman" w:cs="Times New Roman"/>
          <w:sz w:val="24"/>
          <w:szCs w:val="24"/>
          <w:lang w:val="en-GB"/>
        </w:rPr>
        <w:t xml:space="preserve">Most clearly, it overlooks the central role played by popular pressures for social spending in driving rising taxation in recent decades. In addition, it </w:t>
      </w:r>
      <w:r w:rsidR="00E36DCD">
        <w:rPr>
          <w:rFonts w:ascii="Times New Roman" w:hAnsi="Times New Roman" w:cs="Times New Roman"/>
          <w:sz w:val="24"/>
          <w:szCs w:val="24"/>
          <w:lang w:val="en-GB"/>
        </w:rPr>
        <w:t>obscure</w:t>
      </w:r>
      <w:r w:rsidR="000D12E8">
        <w:rPr>
          <w:rFonts w:ascii="Times New Roman" w:hAnsi="Times New Roman" w:cs="Times New Roman"/>
          <w:sz w:val="24"/>
          <w:szCs w:val="24"/>
          <w:lang w:val="en-GB"/>
        </w:rPr>
        <w:t>s</w:t>
      </w:r>
      <w:r w:rsidR="00E36DCD">
        <w:rPr>
          <w:rFonts w:ascii="Times New Roman" w:hAnsi="Times New Roman" w:cs="Times New Roman"/>
          <w:sz w:val="24"/>
          <w:szCs w:val="24"/>
          <w:lang w:val="en-GB"/>
        </w:rPr>
        <w:t xml:space="preserve"> the fact that cohesion itself is shaped by the perceived need to act collectively. In Brazil,</w:t>
      </w:r>
      <w:r w:rsidR="000D12E8">
        <w:rPr>
          <w:rFonts w:ascii="Times New Roman" w:hAnsi="Times New Roman" w:cs="Times New Roman"/>
          <w:sz w:val="24"/>
          <w:szCs w:val="24"/>
          <w:lang w:val="en-GB"/>
        </w:rPr>
        <w:t xml:space="preserve"> as Schneider points out,</w:t>
      </w:r>
      <w:r w:rsidR="00E36DCD">
        <w:rPr>
          <w:rFonts w:ascii="Times New Roman" w:hAnsi="Times New Roman" w:cs="Times New Roman"/>
          <w:sz w:val="24"/>
          <w:szCs w:val="24"/>
          <w:lang w:val="en-GB"/>
        </w:rPr>
        <w:t xml:space="preserve"> the traditional lack of business unity reflects in part the ‘comparatively hospitable political environment in which Brazilian business flourish</w:t>
      </w:r>
      <w:r w:rsidR="00C83A01">
        <w:rPr>
          <w:rFonts w:ascii="Times New Roman" w:hAnsi="Times New Roman" w:cs="Times New Roman"/>
          <w:sz w:val="24"/>
          <w:szCs w:val="24"/>
          <w:lang w:val="en-GB"/>
        </w:rPr>
        <w:t>ed’ during much of its</w:t>
      </w:r>
      <w:r w:rsidR="00E36DCD">
        <w:rPr>
          <w:rFonts w:ascii="Times New Roman" w:hAnsi="Times New Roman" w:cs="Times New Roman"/>
          <w:sz w:val="24"/>
          <w:szCs w:val="24"/>
          <w:lang w:val="en-GB"/>
        </w:rPr>
        <w:t xml:space="preserve"> history.</w:t>
      </w:r>
      <w:r w:rsidR="00E36DCD">
        <w:rPr>
          <w:rStyle w:val="FootnoteReference"/>
          <w:rFonts w:ascii="Times New Roman" w:hAnsi="Times New Roman" w:cs="Times New Roman"/>
          <w:sz w:val="24"/>
          <w:szCs w:val="24"/>
          <w:lang w:val="en-GB"/>
        </w:rPr>
        <w:footnoteReference w:id="49"/>
      </w:r>
      <w:r w:rsidR="00E36DCD">
        <w:rPr>
          <w:rFonts w:ascii="Times New Roman" w:hAnsi="Times New Roman" w:cs="Times New Roman"/>
          <w:sz w:val="24"/>
          <w:szCs w:val="24"/>
          <w:lang w:val="en-GB"/>
        </w:rPr>
        <w:t xml:space="preserve"> </w:t>
      </w:r>
      <w:r w:rsidR="00D84512">
        <w:rPr>
          <w:rFonts w:ascii="Times New Roman" w:hAnsi="Times New Roman" w:cs="Times New Roman"/>
          <w:sz w:val="24"/>
          <w:szCs w:val="24"/>
          <w:lang w:val="en-GB"/>
        </w:rPr>
        <w:t xml:space="preserve"> T</w:t>
      </w:r>
      <w:r w:rsidR="00035A5E">
        <w:rPr>
          <w:rFonts w:ascii="Times New Roman" w:hAnsi="Times New Roman" w:cs="Times New Roman"/>
          <w:sz w:val="24"/>
          <w:szCs w:val="24"/>
          <w:lang w:val="en-GB"/>
        </w:rPr>
        <w:t>he analysis developed below stresses that the</w:t>
      </w:r>
      <w:r w:rsidR="0070269D">
        <w:rPr>
          <w:rFonts w:ascii="Times New Roman" w:hAnsi="Times New Roman" w:cs="Times New Roman"/>
          <w:sz w:val="24"/>
          <w:szCs w:val="24"/>
          <w:lang w:val="en-GB"/>
        </w:rPr>
        <w:t xml:space="preserve"> relative friendliness of the state</w:t>
      </w:r>
      <w:r w:rsidR="00E36DCD">
        <w:rPr>
          <w:rFonts w:ascii="Times New Roman" w:hAnsi="Times New Roman" w:cs="Times New Roman"/>
          <w:sz w:val="24"/>
          <w:szCs w:val="24"/>
          <w:lang w:val="en-GB"/>
        </w:rPr>
        <w:t xml:space="preserve"> to elit</w:t>
      </w:r>
      <w:r w:rsidR="00035A5E">
        <w:rPr>
          <w:rFonts w:ascii="Times New Roman" w:hAnsi="Times New Roman" w:cs="Times New Roman"/>
          <w:sz w:val="24"/>
          <w:szCs w:val="24"/>
          <w:lang w:val="en-GB"/>
        </w:rPr>
        <w:t>e interests was crucial to</w:t>
      </w:r>
      <w:r w:rsidR="00E36DCD">
        <w:rPr>
          <w:rFonts w:ascii="Times New Roman" w:hAnsi="Times New Roman" w:cs="Times New Roman"/>
          <w:sz w:val="24"/>
          <w:szCs w:val="24"/>
          <w:lang w:val="en-GB"/>
        </w:rPr>
        <w:t xml:space="preserve"> the initial construction of</w:t>
      </w:r>
      <w:r w:rsidR="0070269D">
        <w:rPr>
          <w:rFonts w:ascii="Times New Roman" w:hAnsi="Times New Roman" w:cs="Times New Roman"/>
          <w:sz w:val="24"/>
          <w:szCs w:val="24"/>
          <w:lang w:val="en-GB"/>
        </w:rPr>
        <w:t xml:space="preserve"> strong tax capacity</w:t>
      </w:r>
      <w:r w:rsidR="00FB697E">
        <w:rPr>
          <w:rFonts w:ascii="Times New Roman" w:hAnsi="Times New Roman" w:cs="Times New Roman"/>
          <w:sz w:val="24"/>
          <w:szCs w:val="24"/>
          <w:lang w:val="en-GB"/>
        </w:rPr>
        <w:t xml:space="preserve"> precisely b</w:t>
      </w:r>
      <w:r w:rsidR="00E76AC0">
        <w:rPr>
          <w:rFonts w:ascii="Times New Roman" w:hAnsi="Times New Roman" w:cs="Times New Roman"/>
          <w:sz w:val="24"/>
          <w:szCs w:val="24"/>
          <w:lang w:val="en-GB"/>
        </w:rPr>
        <w:t>ecause it avoided a</w:t>
      </w:r>
      <w:r w:rsidR="0070269D">
        <w:rPr>
          <w:rFonts w:ascii="Times New Roman" w:hAnsi="Times New Roman" w:cs="Times New Roman"/>
          <w:sz w:val="24"/>
          <w:szCs w:val="24"/>
          <w:lang w:val="en-GB"/>
        </w:rPr>
        <w:t xml:space="preserve"> unified</w:t>
      </w:r>
      <w:r w:rsidR="00BA1235">
        <w:rPr>
          <w:rFonts w:ascii="Times New Roman" w:hAnsi="Times New Roman" w:cs="Times New Roman"/>
          <w:sz w:val="24"/>
          <w:szCs w:val="24"/>
          <w:lang w:val="en-GB"/>
        </w:rPr>
        <w:t xml:space="preserve"> elite</w:t>
      </w:r>
      <w:r w:rsidR="00FB697E">
        <w:rPr>
          <w:rFonts w:ascii="Times New Roman" w:hAnsi="Times New Roman" w:cs="Times New Roman"/>
          <w:sz w:val="24"/>
          <w:szCs w:val="24"/>
          <w:lang w:val="en-GB"/>
        </w:rPr>
        <w:t xml:space="preserve"> counter-reaction</w:t>
      </w:r>
      <w:r w:rsidR="00E36DCD">
        <w:rPr>
          <w:rFonts w:ascii="Times New Roman" w:hAnsi="Times New Roman" w:cs="Times New Roman"/>
          <w:sz w:val="24"/>
          <w:szCs w:val="24"/>
          <w:lang w:val="en-GB"/>
        </w:rPr>
        <w:t>.</w:t>
      </w:r>
    </w:p>
    <w:p w:rsidR="00B369B9" w:rsidRDefault="00B369B9" w:rsidP="00916021">
      <w:pPr>
        <w:spacing w:after="0" w:line="480" w:lineRule="auto"/>
        <w:rPr>
          <w:rFonts w:ascii="Times New Roman" w:hAnsi="Times New Roman" w:cs="Times New Roman"/>
          <w:sz w:val="24"/>
          <w:szCs w:val="24"/>
          <w:lang w:val="en-GB"/>
        </w:rPr>
      </w:pPr>
    </w:p>
    <w:p w:rsidR="005F2B90" w:rsidRPr="00D9330B" w:rsidRDefault="00237ED7" w:rsidP="006161A5">
      <w:pPr>
        <w:spacing w:after="0" w:line="480" w:lineRule="auto"/>
        <w:jc w:val="center"/>
        <w:rPr>
          <w:rFonts w:ascii="Times New Roman" w:hAnsi="Times New Roman" w:cs="Times New Roman"/>
          <w:i/>
          <w:sz w:val="24"/>
          <w:szCs w:val="24"/>
          <w:lang w:val="en-GB"/>
        </w:rPr>
      </w:pPr>
      <w:r w:rsidRPr="00D9330B">
        <w:rPr>
          <w:rFonts w:ascii="Times New Roman" w:hAnsi="Times New Roman" w:cs="Times New Roman"/>
          <w:i/>
          <w:sz w:val="24"/>
          <w:szCs w:val="24"/>
          <w:lang w:val="en-GB"/>
        </w:rPr>
        <w:t>Interpretations of the Brazilian Case</w:t>
      </w:r>
    </w:p>
    <w:p w:rsidR="005F2B90" w:rsidRDefault="002C66FB" w:rsidP="005F2B90">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 xml:space="preserve">There is no previous work </w:t>
      </w:r>
      <w:r w:rsidR="00DE2B6D" w:rsidRPr="00D9330B">
        <w:rPr>
          <w:rFonts w:ascii="Times New Roman" w:hAnsi="Times New Roman" w:cs="Times New Roman"/>
          <w:sz w:val="24"/>
          <w:szCs w:val="24"/>
          <w:lang w:val="en-GB"/>
        </w:rPr>
        <w:t>that systematically explores</w:t>
      </w:r>
      <w:r w:rsidR="00676346" w:rsidRPr="00D9330B">
        <w:rPr>
          <w:rFonts w:ascii="Times New Roman" w:hAnsi="Times New Roman" w:cs="Times New Roman"/>
          <w:sz w:val="24"/>
          <w:szCs w:val="24"/>
          <w:lang w:val="en-GB"/>
        </w:rPr>
        <w:t xml:space="preserve"> why Brazil’s tax burden is heavier than those of other L</w:t>
      </w:r>
      <w:r w:rsidR="006161A5" w:rsidRPr="00D9330B">
        <w:rPr>
          <w:rFonts w:ascii="Times New Roman" w:hAnsi="Times New Roman" w:cs="Times New Roman"/>
          <w:sz w:val="24"/>
          <w:szCs w:val="24"/>
          <w:lang w:val="en-GB"/>
        </w:rPr>
        <w:t xml:space="preserve">atin </w:t>
      </w:r>
      <w:r w:rsidR="00FE2D3D" w:rsidRPr="00D9330B">
        <w:rPr>
          <w:rFonts w:ascii="Times New Roman" w:hAnsi="Times New Roman" w:cs="Times New Roman"/>
          <w:sz w:val="24"/>
          <w:szCs w:val="24"/>
          <w:lang w:val="en-GB"/>
        </w:rPr>
        <w:t>American countries, but</w:t>
      </w:r>
      <w:r w:rsidR="008D3174" w:rsidRPr="00D9330B">
        <w:rPr>
          <w:rFonts w:ascii="Times New Roman" w:hAnsi="Times New Roman" w:cs="Times New Roman"/>
          <w:sz w:val="24"/>
          <w:szCs w:val="24"/>
          <w:lang w:val="en-GB"/>
        </w:rPr>
        <w:t xml:space="preserve"> a</w:t>
      </w:r>
      <w:r w:rsidR="0091515C"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substantial body of scholarship</w:t>
      </w:r>
      <w:r w:rsidR="00665579" w:rsidRPr="00D9330B">
        <w:rPr>
          <w:rFonts w:ascii="Times New Roman" w:hAnsi="Times New Roman" w:cs="Times New Roman"/>
          <w:sz w:val="24"/>
          <w:szCs w:val="24"/>
          <w:lang w:val="en-GB"/>
        </w:rPr>
        <w:t xml:space="preserve"> has developed</w:t>
      </w:r>
      <w:r w:rsidRPr="00D9330B">
        <w:rPr>
          <w:rFonts w:ascii="Times New Roman" w:hAnsi="Times New Roman" w:cs="Times New Roman"/>
          <w:sz w:val="24"/>
          <w:szCs w:val="24"/>
          <w:lang w:val="en-GB"/>
        </w:rPr>
        <w:t xml:space="preserve"> on the Brazilian tax system,</w:t>
      </w:r>
      <w:r w:rsidR="00D4797C" w:rsidRPr="00D9330B">
        <w:rPr>
          <w:rFonts w:ascii="Times New Roman" w:hAnsi="Times New Roman" w:cs="Times New Roman"/>
          <w:sz w:val="24"/>
          <w:szCs w:val="24"/>
          <w:lang w:val="en-GB"/>
        </w:rPr>
        <w:t xml:space="preserve"> particularly in recent decades. It</w:t>
      </w:r>
      <w:r w:rsidRPr="00D9330B">
        <w:rPr>
          <w:rFonts w:ascii="Times New Roman" w:hAnsi="Times New Roman" w:cs="Times New Roman"/>
          <w:sz w:val="24"/>
          <w:szCs w:val="24"/>
          <w:lang w:val="en-GB"/>
        </w:rPr>
        <w:t xml:space="preserve"> offers some</w:t>
      </w:r>
      <w:r w:rsidR="0091515C" w:rsidRPr="00D9330B">
        <w:rPr>
          <w:rFonts w:ascii="Times New Roman" w:hAnsi="Times New Roman" w:cs="Times New Roman"/>
          <w:sz w:val="24"/>
          <w:szCs w:val="24"/>
          <w:lang w:val="en-GB"/>
        </w:rPr>
        <w:t xml:space="preserve"> potentially relevant arguments</w:t>
      </w:r>
      <w:r w:rsidR="000B1746" w:rsidRPr="00D9330B">
        <w:rPr>
          <w:rFonts w:ascii="Times New Roman" w:hAnsi="Times New Roman" w:cs="Times New Roman"/>
          <w:sz w:val="24"/>
          <w:szCs w:val="24"/>
          <w:lang w:val="en-GB"/>
        </w:rPr>
        <w:t xml:space="preserve"> but also leaves crucial questions unanswered.</w:t>
      </w:r>
    </w:p>
    <w:p w:rsidR="009D431D" w:rsidRDefault="00746F7E" w:rsidP="009D431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BC042C">
        <w:rPr>
          <w:rFonts w:ascii="Times New Roman" w:hAnsi="Times New Roman" w:cs="Times New Roman"/>
          <w:sz w:val="24"/>
          <w:szCs w:val="24"/>
          <w:lang w:val="en-GB"/>
        </w:rPr>
        <w:t>The studies</w:t>
      </w:r>
      <w:r w:rsidR="0053318E">
        <w:rPr>
          <w:rFonts w:ascii="Times New Roman" w:hAnsi="Times New Roman" w:cs="Times New Roman"/>
          <w:sz w:val="24"/>
          <w:szCs w:val="24"/>
          <w:lang w:val="en-GB"/>
        </w:rPr>
        <w:t xml:space="preserve"> that</w:t>
      </w:r>
      <w:r w:rsidR="00C0569B">
        <w:rPr>
          <w:rFonts w:ascii="Times New Roman" w:hAnsi="Times New Roman" w:cs="Times New Roman"/>
          <w:sz w:val="24"/>
          <w:szCs w:val="24"/>
          <w:lang w:val="en-GB"/>
        </w:rPr>
        <w:t xml:space="preserve"> most</w:t>
      </w:r>
      <w:r w:rsidR="0053318E">
        <w:rPr>
          <w:rFonts w:ascii="Times New Roman" w:hAnsi="Times New Roman" w:cs="Times New Roman"/>
          <w:sz w:val="24"/>
          <w:szCs w:val="24"/>
          <w:lang w:val="en-GB"/>
        </w:rPr>
        <w:t xml:space="preserve"> resembles the present one</w:t>
      </w:r>
      <w:r w:rsidR="00BC042C">
        <w:rPr>
          <w:rFonts w:ascii="Times New Roman" w:hAnsi="Times New Roman" w:cs="Times New Roman"/>
          <w:sz w:val="24"/>
          <w:szCs w:val="24"/>
          <w:lang w:val="en-GB"/>
        </w:rPr>
        <w:t xml:space="preserve"> are</w:t>
      </w:r>
      <w:r w:rsidR="009D431D">
        <w:rPr>
          <w:rFonts w:ascii="Times New Roman" w:hAnsi="Times New Roman" w:cs="Times New Roman"/>
          <w:sz w:val="24"/>
          <w:szCs w:val="24"/>
          <w:lang w:val="en-GB"/>
        </w:rPr>
        <w:t xml:space="preserve"> </w:t>
      </w:r>
      <w:proofErr w:type="spellStart"/>
      <w:r w:rsidR="009D431D">
        <w:rPr>
          <w:rFonts w:ascii="Times New Roman" w:hAnsi="Times New Roman" w:cs="Times New Roman"/>
          <w:sz w:val="24"/>
          <w:szCs w:val="24"/>
          <w:lang w:val="en-GB"/>
        </w:rPr>
        <w:t>Melo’s</w:t>
      </w:r>
      <w:proofErr w:type="spellEnd"/>
      <w:r w:rsidR="009D431D">
        <w:rPr>
          <w:rFonts w:ascii="Times New Roman" w:hAnsi="Times New Roman" w:cs="Times New Roman"/>
          <w:sz w:val="24"/>
          <w:szCs w:val="24"/>
          <w:lang w:val="en-GB"/>
        </w:rPr>
        <w:t xml:space="preserve"> comparison</w:t>
      </w:r>
      <w:r w:rsidR="00BC042C">
        <w:rPr>
          <w:rFonts w:ascii="Times New Roman" w:hAnsi="Times New Roman" w:cs="Times New Roman"/>
          <w:sz w:val="24"/>
          <w:szCs w:val="24"/>
          <w:lang w:val="en-GB"/>
        </w:rPr>
        <w:t>s</w:t>
      </w:r>
      <w:r w:rsidR="009D431D">
        <w:rPr>
          <w:rFonts w:ascii="Times New Roman" w:hAnsi="Times New Roman" w:cs="Times New Roman"/>
          <w:sz w:val="24"/>
          <w:szCs w:val="24"/>
          <w:lang w:val="en-GB"/>
        </w:rPr>
        <w:t xml:space="preserve"> of B</w:t>
      </w:r>
      <w:r w:rsidR="00BC042C">
        <w:rPr>
          <w:rFonts w:ascii="Times New Roman" w:hAnsi="Times New Roman" w:cs="Times New Roman"/>
          <w:sz w:val="24"/>
          <w:szCs w:val="24"/>
          <w:lang w:val="en-GB"/>
        </w:rPr>
        <w:t>razil and Argentina, which seek</w:t>
      </w:r>
      <w:r w:rsidR="009D431D">
        <w:rPr>
          <w:rFonts w:ascii="Times New Roman" w:hAnsi="Times New Roman" w:cs="Times New Roman"/>
          <w:sz w:val="24"/>
          <w:szCs w:val="24"/>
          <w:lang w:val="en-GB"/>
        </w:rPr>
        <w:t xml:space="preserve"> to explain the vast gap in tax bur</w:t>
      </w:r>
      <w:r w:rsidR="00FB213B">
        <w:rPr>
          <w:rFonts w:ascii="Times New Roman" w:hAnsi="Times New Roman" w:cs="Times New Roman"/>
          <w:sz w:val="24"/>
          <w:szCs w:val="24"/>
          <w:lang w:val="en-GB"/>
        </w:rPr>
        <w:t xml:space="preserve">dens (about 10 percent of GDP) </w:t>
      </w:r>
      <w:r w:rsidR="009D431D">
        <w:rPr>
          <w:rFonts w:ascii="Times New Roman" w:hAnsi="Times New Roman" w:cs="Times New Roman"/>
          <w:sz w:val="24"/>
          <w:szCs w:val="24"/>
          <w:lang w:val="en-GB"/>
        </w:rPr>
        <w:t xml:space="preserve">between </w:t>
      </w:r>
      <w:r w:rsidR="009D431D">
        <w:rPr>
          <w:rFonts w:ascii="Times New Roman" w:hAnsi="Times New Roman" w:cs="Times New Roman"/>
          <w:sz w:val="24"/>
          <w:szCs w:val="24"/>
          <w:lang w:val="en-GB"/>
        </w:rPr>
        <w:lastRenderedPageBreak/>
        <w:t>the two countries as of the early 2000s.</w:t>
      </w:r>
      <w:r w:rsidR="00A4126C">
        <w:rPr>
          <w:rStyle w:val="FootnoteReference"/>
          <w:rFonts w:ascii="Times New Roman" w:hAnsi="Times New Roman" w:cs="Times New Roman"/>
          <w:sz w:val="24"/>
          <w:szCs w:val="24"/>
          <w:lang w:val="en-GB"/>
        </w:rPr>
        <w:footnoteReference w:id="50"/>
      </w:r>
      <w:r w:rsidR="009D431D">
        <w:rPr>
          <w:rFonts w:ascii="Times New Roman" w:hAnsi="Times New Roman" w:cs="Times New Roman"/>
          <w:sz w:val="24"/>
          <w:szCs w:val="24"/>
          <w:lang w:val="en-GB"/>
        </w:rPr>
        <w:t xml:space="preserve"> He argues that this difference stems from Argentina’</w:t>
      </w:r>
      <w:r w:rsidR="00A4126C">
        <w:rPr>
          <w:rFonts w:ascii="Times New Roman" w:hAnsi="Times New Roman" w:cs="Times New Roman"/>
          <w:sz w:val="24"/>
          <w:szCs w:val="24"/>
          <w:lang w:val="en-GB"/>
        </w:rPr>
        <w:t>s chronic</w:t>
      </w:r>
      <w:r w:rsidR="009D431D">
        <w:rPr>
          <w:rFonts w:ascii="Times New Roman" w:hAnsi="Times New Roman" w:cs="Times New Roman"/>
          <w:sz w:val="24"/>
          <w:szCs w:val="24"/>
          <w:lang w:val="en-GB"/>
        </w:rPr>
        <w:t xml:space="preserve"> political instability, which </w:t>
      </w:r>
      <w:r w:rsidR="00E70686">
        <w:rPr>
          <w:rFonts w:ascii="Times New Roman" w:hAnsi="Times New Roman" w:cs="Times New Roman"/>
          <w:sz w:val="24"/>
          <w:szCs w:val="24"/>
          <w:lang w:val="en-GB"/>
        </w:rPr>
        <w:t xml:space="preserve">has shortened </w:t>
      </w:r>
      <w:r w:rsidR="009D431D">
        <w:rPr>
          <w:rFonts w:ascii="Times New Roman" w:hAnsi="Times New Roman" w:cs="Times New Roman"/>
          <w:sz w:val="24"/>
          <w:szCs w:val="24"/>
          <w:lang w:val="en-GB"/>
        </w:rPr>
        <w:t>leaders’ time horizons and discouraged investment of political capital in building a strong tax system. Instability is, in turn,</w:t>
      </w:r>
      <w:r w:rsidR="00B02BCC">
        <w:rPr>
          <w:rFonts w:ascii="Times New Roman" w:hAnsi="Times New Roman" w:cs="Times New Roman"/>
          <w:sz w:val="24"/>
          <w:szCs w:val="24"/>
          <w:lang w:val="en-GB"/>
        </w:rPr>
        <w:t xml:space="preserve"> largely</w:t>
      </w:r>
      <w:r w:rsidR="009D431D">
        <w:rPr>
          <w:rFonts w:ascii="Times New Roman" w:hAnsi="Times New Roman" w:cs="Times New Roman"/>
          <w:sz w:val="24"/>
          <w:szCs w:val="24"/>
          <w:lang w:val="en-GB"/>
        </w:rPr>
        <w:t xml:space="preserve"> a product of Argentina’s dysfunctional federalism, which promotes conflict between the national government and the provinces. In contrast, a more functional federal system helped </w:t>
      </w:r>
      <w:r w:rsidR="00BC042C">
        <w:rPr>
          <w:rFonts w:ascii="Times New Roman" w:hAnsi="Times New Roman" w:cs="Times New Roman"/>
          <w:sz w:val="24"/>
          <w:szCs w:val="24"/>
          <w:lang w:val="en-GB"/>
        </w:rPr>
        <w:t>the Brazilian state to incrementally raise</w:t>
      </w:r>
      <w:r w:rsidR="009D431D">
        <w:rPr>
          <w:rFonts w:ascii="Times New Roman" w:hAnsi="Times New Roman" w:cs="Times New Roman"/>
          <w:sz w:val="24"/>
          <w:szCs w:val="24"/>
          <w:lang w:val="en-GB"/>
        </w:rPr>
        <w:t xml:space="preserve"> its tax capacity over the course of decades.</w:t>
      </w:r>
    </w:p>
    <w:p w:rsidR="009D431D" w:rsidRDefault="009D431D" w:rsidP="009D431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One of the problems with this account is that Argentina’s tax burden has not been chronically light but, rather, quite volatile. Even as </w:t>
      </w:r>
      <w:proofErr w:type="spellStart"/>
      <w:r>
        <w:rPr>
          <w:rFonts w:ascii="Times New Roman" w:hAnsi="Times New Roman" w:cs="Times New Roman"/>
          <w:sz w:val="24"/>
          <w:szCs w:val="24"/>
          <w:lang w:val="en-GB"/>
        </w:rPr>
        <w:t>M</w:t>
      </w:r>
      <w:r w:rsidR="00E70686">
        <w:rPr>
          <w:rFonts w:ascii="Times New Roman" w:hAnsi="Times New Roman" w:cs="Times New Roman"/>
          <w:sz w:val="24"/>
          <w:szCs w:val="24"/>
          <w:lang w:val="en-GB"/>
        </w:rPr>
        <w:t>elo’s</w:t>
      </w:r>
      <w:proofErr w:type="spellEnd"/>
      <w:r w:rsidR="00E70686">
        <w:rPr>
          <w:rFonts w:ascii="Times New Roman" w:hAnsi="Times New Roman" w:cs="Times New Roman"/>
          <w:sz w:val="24"/>
          <w:szCs w:val="24"/>
          <w:lang w:val="en-GB"/>
        </w:rPr>
        <w:t xml:space="preserve"> text</w:t>
      </w:r>
      <w:r w:rsidR="00BC042C">
        <w:rPr>
          <w:rFonts w:ascii="Times New Roman" w:hAnsi="Times New Roman" w:cs="Times New Roman"/>
          <w:sz w:val="24"/>
          <w:szCs w:val="24"/>
          <w:lang w:val="en-GB"/>
        </w:rPr>
        <w:t>s were being prepared</w:t>
      </w:r>
      <w:r>
        <w:rPr>
          <w:rFonts w:ascii="Times New Roman" w:hAnsi="Times New Roman" w:cs="Times New Roman"/>
          <w:sz w:val="24"/>
          <w:szCs w:val="24"/>
          <w:lang w:val="en-GB"/>
        </w:rPr>
        <w:t xml:space="preserve">, it was rising to unprecedented levels, substantially closing the gap with Brazil’s. Moreover, in the 1950s under Juan </w:t>
      </w:r>
      <w:proofErr w:type="spellStart"/>
      <w:r>
        <w:rPr>
          <w:rFonts w:ascii="Times New Roman" w:hAnsi="Times New Roman" w:cs="Times New Roman"/>
          <w:sz w:val="24"/>
          <w:szCs w:val="24"/>
          <w:lang w:val="en-GB"/>
        </w:rPr>
        <w:t>Pe</w:t>
      </w:r>
      <w:r w:rsidR="00FB213B">
        <w:rPr>
          <w:rFonts w:ascii="Times New Roman" w:hAnsi="Times New Roman" w:cs="Times New Roman"/>
          <w:sz w:val="24"/>
          <w:szCs w:val="24"/>
          <w:lang w:val="en-GB"/>
        </w:rPr>
        <w:t>r</w:t>
      </w:r>
      <w:r w:rsidR="00E31A89">
        <w:rPr>
          <w:rFonts w:ascii="Times New Roman" w:hAnsi="Times New Roman" w:cs="Times New Roman"/>
          <w:sz w:val="24"/>
          <w:szCs w:val="24"/>
          <w:lang w:val="en-GB"/>
        </w:rPr>
        <w:t>ón</w:t>
      </w:r>
      <w:proofErr w:type="spellEnd"/>
      <w:r w:rsidR="00E31A89">
        <w:rPr>
          <w:rFonts w:ascii="Times New Roman" w:hAnsi="Times New Roman" w:cs="Times New Roman"/>
          <w:sz w:val="24"/>
          <w:szCs w:val="24"/>
          <w:lang w:val="en-GB"/>
        </w:rPr>
        <w:t xml:space="preserve"> Argentina had a considerably</w:t>
      </w:r>
      <w:r w:rsidR="00FB213B">
        <w:rPr>
          <w:rFonts w:ascii="Times New Roman" w:hAnsi="Times New Roman" w:cs="Times New Roman"/>
          <w:sz w:val="24"/>
          <w:szCs w:val="24"/>
          <w:lang w:val="en-GB"/>
        </w:rPr>
        <w:t xml:space="preserve"> heavier tax burden than Brazil</w:t>
      </w:r>
      <w:r w:rsidR="008A22F0">
        <w:rPr>
          <w:rFonts w:ascii="Times New Roman" w:hAnsi="Times New Roman" w:cs="Times New Roman"/>
          <w:sz w:val="24"/>
          <w:szCs w:val="24"/>
          <w:lang w:val="en-GB"/>
        </w:rPr>
        <w:t xml:space="preserve"> (see Figure 1)</w:t>
      </w:r>
      <w:r>
        <w:rPr>
          <w:rFonts w:ascii="Times New Roman" w:hAnsi="Times New Roman" w:cs="Times New Roman"/>
          <w:sz w:val="24"/>
          <w:szCs w:val="24"/>
          <w:lang w:val="en-GB"/>
        </w:rPr>
        <w:t xml:space="preserve">. A focus on chronic </w:t>
      </w:r>
      <w:r w:rsidR="00EF78F0">
        <w:rPr>
          <w:rFonts w:ascii="Times New Roman" w:hAnsi="Times New Roman" w:cs="Times New Roman"/>
          <w:sz w:val="24"/>
          <w:szCs w:val="24"/>
          <w:lang w:val="en-GB"/>
        </w:rPr>
        <w:t>institutional weakness</w:t>
      </w:r>
      <w:r w:rsidR="00C26FBE">
        <w:rPr>
          <w:rFonts w:ascii="Times New Roman" w:hAnsi="Times New Roman" w:cs="Times New Roman"/>
          <w:sz w:val="24"/>
          <w:szCs w:val="24"/>
          <w:lang w:val="en-GB"/>
        </w:rPr>
        <w:t xml:space="preserve"> cannot explain this trajectory</w:t>
      </w:r>
      <w:r w:rsidR="001017BB">
        <w:rPr>
          <w:rFonts w:ascii="Times New Roman" w:hAnsi="Times New Roman" w:cs="Times New Roman"/>
          <w:sz w:val="24"/>
          <w:szCs w:val="24"/>
          <w:lang w:val="en-GB"/>
        </w:rPr>
        <w:t xml:space="preserve">. A second </w:t>
      </w:r>
      <w:r w:rsidR="00BC042C">
        <w:rPr>
          <w:rFonts w:ascii="Times New Roman" w:hAnsi="Times New Roman" w:cs="Times New Roman"/>
          <w:sz w:val="24"/>
          <w:szCs w:val="24"/>
          <w:lang w:val="en-GB"/>
        </w:rPr>
        <w:t>and related problem is that this perspective</w:t>
      </w:r>
      <w:r>
        <w:rPr>
          <w:rFonts w:ascii="Times New Roman" w:hAnsi="Times New Roman" w:cs="Times New Roman"/>
          <w:sz w:val="24"/>
          <w:szCs w:val="24"/>
          <w:lang w:val="en-GB"/>
        </w:rPr>
        <w:t xml:space="preserve"> ignores the crucial role of </w:t>
      </w:r>
      <w:r w:rsidR="00C26FBE">
        <w:rPr>
          <w:rFonts w:ascii="Times New Roman" w:hAnsi="Times New Roman" w:cs="Times New Roman"/>
          <w:sz w:val="24"/>
          <w:szCs w:val="24"/>
          <w:lang w:val="en-GB"/>
        </w:rPr>
        <w:t xml:space="preserve">largely </w:t>
      </w:r>
      <w:r>
        <w:rPr>
          <w:rFonts w:ascii="Times New Roman" w:hAnsi="Times New Roman" w:cs="Times New Roman"/>
          <w:sz w:val="24"/>
          <w:szCs w:val="24"/>
          <w:lang w:val="en-GB"/>
        </w:rPr>
        <w:t>l</w:t>
      </w:r>
      <w:r w:rsidR="008A22F0">
        <w:rPr>
          <w:rFonts w:ascii="Times New Roman" w:hAnsi="Times New Roman" w:cs="Times New Roman"/>
          <w:sz w:val="24"/>
          <w:szCs w:val="24"/>
          <w:lang w:val="en-GB"/>
        </w:rPr>
        <w:t>abour-based populism in polarizing</w:t>
      </w:r>
      <w:r>
        <w:rPr>
          <w:rFonts w:ascii="Times New Roman" w:hAnsi="Times New Roman" w:cs="Times New Roman"/>
          <w:sz w:val="24"/>
          <w:szCs w:val="24"/>
          <w:lang w:val="en-GB"/>
        </w:rPr>
        <w:t xml:space="preserve"> Argentine society and provoking</w:t>
      </w:r>
      <w:r w:rsidR="007142EF">
        <w:rPr>
          <w:rFonts w:ascii="Times New Roman" w:hAnsi="Times New Roman" w:cs="Times New Roman"/>
          <w:sz w:val="24"/>
          <w:szCs w:val="24"/>
          <w:lang w:val="en-GB"/>
        </w:rPr>
        <w:t xml:space="preserve"> military intervention</w:t>
      </w:r>
      <w:r w:rsidR="002B2ADC">
        <w:rPr>
          <w:rFonts w:ascii="Times New Roman" w:hAnsi="Times New Roman" w:cs="Times New Roman"/>
          <w:sz w:val="24"/>
          <w:szCs w:val="24"/>
          <w:lang w:val="en-GB"/>
        </w:rPr>
        <w:t xml:space="preserve"> and instability</w:t>
      </w:r>
      <w:r>
        <w:rPr>
          <w:rFonts w:ascii="Times New Roman" w:hAnsi="Times New Roman" w:cs="Times New Roman"/>
          <w:sz w:val="24"/>
          <w:szCs w:val="24"/>
          <w:lang w:val="en-GB"/>
        </w:rPr>
        <w:t>.</w:t>
      </w:r>
      <w:r w:rsidR="00E70686">
        <w:rPr>
          <w:rFonts w:ascii="Times New Roman" w:hAnsi="Times New Roman" w:cs="Times New Roman"/>
          <w:sz w:val="24"/>
          <w:szCs w:val="24"/>
          <w:lang w:val="en-GB"/>
        </w:rPr>
        <w:t xml:space="preserve"> Finally, </w:t>
      </w:r>
      <w:proofErr w:type="spellStart"/>
      <w:r w:rsidR="00E70686">
        <w:rPr>
          <w:rFonts w:ascii="Times New Roman" w:hAnsi="Times New Roman" w:cs="Times New Roman"/>
          <w:sz w:val="24"/>
          <w:szCs w:val="24"/>
          <w:lang w:val="en-GB"/>
        </w:rPr>
        <w:t>Melo’</w:t>
      </w:r>
      <w:r w:rsidR="00CC6E35">
        <w:rPr>
          <w:rFonts w:ascii="Times New Roman" w:hAnsi="Times New Roman" w:cs="Times New Roman"/>
          <w:sz w:val="24"/>
          <w:szCs w:val="24"/>
          <w:lang w:val="en-GB"/>
        </w:rPr>
        <w:t>s</w:t>
      </w:r>
      <w:proofErr w:type="spellEnd"/>
      <w:r w:rsidR="00CC6E35">
        <w:rPr>
          <w:rFonts w:ascii="Times New Roman" w:hAnsi="Times New Roman" w:cs="Times New Roman"/>
          <w:sz w:val="24"/>
          <w:szCs w:val="24"/>
          <w:lang w:val="en-GB"/>
        </w:rPr>
        <w:t xml:space="preserve"> focus</w:t>
      </w:r>
      <w:r w:rsidR="001017BB">
        <w:rPr>
          <w:rFonts w:ascii="Times New Roman" w:hAnsi="Times New Roman" w:cs="Times New Roman"/>
          <w:sz w:val="24"/>
          <w:szCs w:val="24"/>
          <w:lang w:val="en-GB"/>
        </w:rPr>
        <w:t xml:space="preserve"> on Brazil’s</w:t>
      </w:r>
      <w:r w:rsidR="00B02BCC">
        <w:rPr>
          <w:rFonts w:ascii="Times New Roman" w:hAnsi="Times New Roman" w:cs="Times New Roman"/>
          <w:sz w:val="24"/>
          <w:szCs w:val="24"/>
          <w:lang w:val="en-GB"/>
        </w:rPr>
        <w:t xml:space="preserve"> comparative</w:t>
      </w:r>
      <w:r w:rsidR="002A68C4">
        <w:rPr>
          <w:rFonts w:ascii="Times New Roman" w:hAnsi="Times New Roman" w:cs="Times New Roman"/>
          <w:sz w:val="24"/>
          <w:szCs w:val="24"/>
          <w:lang w:val="en-GB"/>
        </w:rPr>
        <w:t xml:space="preserve"> political</w:t>
      </w:r>
      <w:r w:rsidR="00AC3B06">
        <w:rPr>
          <w:rFonts w:ascii="Times New Roman" w:hAnsi="Times New Roman" w:cs="Times New Roman"/>
          <w:sz w:val="24"/>
          <w:szCs w:val="24"/>
          <w:lang w:val="en-GB"/>
        </w:rPr>
        <w:t xml:space="preserve"> stabi</w:t>
      </w:r>
      <w:r w:rsidR="00B02BCC">
        <w:rPr>
          <w:rFonts w:ascii="Times New Roman" w:hAnsi="Times New Roman" w:cs="Times New Roman"/>
          <w:sz w:val="24"/>
          <w:szCs w:val="24"/>
          <w:lang w:val="en-GB"/>
        </w:rPr>
        <w:t>lity leads him to underemphasise the change in the</w:t>
      </w:r>
      <w:r w:rsidR="001017BB">
        <w:rPr>
          <w:rFonts w:ascii="Times New Roman" w:hAnsi="Times New Roman" w:cs="Times New Roman"/>
          <w:sz w:val="24"/>
          <w:szCs w:val="24"/>
          <w:lang w:val="en-GB"/>
        </w:rPr>
        <w:t xml:space="preserve"> causal forces</w:t>
      </w:r>
      <w:r w:rsidR="00B02BCC">
        <w:rPr>
          <w:rFonts w:ascii="Times New Roman" w:hAnsi="Times New Roman" w:cs="Times New Roman"/>
          <w:sz w:val="24"/>
          <w:szCs w:val="24"/>
          <w:lang w:val="en-GB"/>
        </w:rPr>
        <w:t xml:space="preserve"> behind rising taxation since the 1980s</w:t>
      </w:r>
      <w:r w:rsidR="001017BB">
        <w:rPr>
          <w:rFonts w:ascii="Times New Roman" w:hAnsi="Times New Roman" w:cs="Times New Roman"/>
          <w:sz w:val="24"/>
          <w:szCs w:val="24"/>
          <w:lang w:val="en-GB"/>
        </w:rPr>
        <w:t xml:space="preserve">. </w:t>
      </w:r>
      <w:r>
        <w:rPr>
          <w:rFonts w:ascii="Times New Roman" w:hAnsi="Times New Roman" w:cs="Times New Roman"/>
          <w:sz w:val="24"/>
          <w:szCs w:val="24"/>
          <w:lang w:val="en-GB"/>
        </w:rPr>
        <w:t>The analys</w:t>
      </w:r>
      <w:r w:rsidR="00AC3B06">
        <w:rPr>
          <w:rFonts w:ascii="Times New Roman" w:hAnsi="Times New Roman" w:cs="Times New Roman"/>
          <w:sz w:val="24"/>
          <w:szCs w:val="24"/>
          <w:lang w:val="en-GB"/>
        </w:rPr>
        <w:t>is developed below, highlighting</w:t>
      </w:r>
      <w:r>
        <w:rPr>
          <w:rFonts w:ascii="Times New Roman" w:hAnsi="Times New Roman" w:cs="Times New Roman"/>
          <w:sz w:val="24"/>
          <w:szCs w:val="24"/>
          <w:lang w:val="en-GB"/>
        </w:rPr>
        <w:t xml:space="preserve"> the </w:t>
      </w:r>
      <w:r w:rsidR="001017BB">
        <w:rPr>
          <w:rFonts w:ascii="Times New Roman" w:hAnsi="Times New Roman" w:cs="Times New Roman"/>
          <w:sz w:val="24"/>
          <w:szCs w:val="24"/>
          <w:lang w:val="en-GB"/>
        </w:rPr>
        <w:t xml:space="preserve">dynamic </w:t>
      </w:r>
      <w:r>
        <w:rPr>
          <w:rFonts w:ascii="Times New Roman" w:hAnsi="Times New Roman" w:cs="Times New Roman"/>
          <w:sz w:val="24"/>
          <w:szCs w:val="24"/>
          <w:lang w:val="en-GB"/>
        </w:rPr>
        <w:t>interplay between the social class bases of public sector growth and the climate for democracy, provides a better foundation for understanding the trajectory</w:t>
      </w:r>
      <w:r w:rsidR="008A22F0">
        <w:rPr>
          <w:rFonts w:ascii="Times New Roman" w:hAnsi="Times New Roman" w:cs="Times New Roman"/>
          <w:sz w:val="24"/>
          <w:szCs w:val="24"/>
          <w:lang w:val="en-GB"/>
        </w:rPr>
        <w:t xml:space="preserve"> of taxation in both </w:t>
      </w:r>
      <w:r>
        <w:rPr>
          <w:rFonts w:ascii="Times New Roman" w:hAnsi="Times New Roman" w:cs="Times New Roman"/>
          <w:sz w:val="24"/>
          <w:szCs w:val="24"/>
          <w:lang w:val="en-GB"/>
        </w:rPr>
        <w:t>Argentina</w:t>
      </w:r>
      <w:r w:rsidR="008A22F0">
        <w:rPr>
          <w:rFonts w:ascii="Times New Roman" w:hAnsi="Times New Roman" w:cs="Times New Roman"/>
          <w:sz w:val="24"/>
          <w:szCs w:val="24"/>
          <w:lang w:val="en-GB"/>
        </w:rPr>
        <w:t xml:space="preserve"> and Brazil</w:t>
      </w:r>
      <w:r>
        <w:rPr>
          <w:rFonts w:ascii="Times New Roman" w:hAnsi="Times New Roman" w:cs="Times New Roman"/>
          <w:sz w:val="24"/>
          <w:szCs w:val="24"/>
          <w:lang w:val="en-GB"/>
        </w:rPr>
        <w:t>.</w:t>
      </w:r>
    </w:p>
    <w:p w:rsidR="007A0038" w:rsidRPr="00D9330B" w:rsidRDefault="00C26FBE" w:rsidP="00FE2D3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69727C">
        <w:rPr>
          <w:rFonts w:ascii="Times New Roman" w:hAnsi="Times New Roman" w:cs="Times New Roman"/>
          <w:sz w:val="24"/>
          <w:szCs w:val="24"/>
          <w:lang w:val="en-GB"/>
        </w:rPr>
        <w:t>While</w:t>
      </w:r>
      <w:r w:rsidR="006058C9">
        <w:rPr>
          <w:rFonts w:ascii="Times New Roman" w:hAnsi="Times New Roman" w:cs="Times New Roman"/>
          <w:sz w:val="24"/>
          <w:szCs w:val="24"/>
          <w:lang w:val="en-GB"/>
        </w:rPr>
        <w:t xml:space="preserve"> this</w:t>
      </w:r>
      <w:r w:rsidR="00D84512">
        <w:rPr>
          <w:rFonts w:ascii="Times New Roman" w:hAnsi="Times New Roman" w:cs="Times New Roman"/>
          <w:sz w:val="24"/>
          <w:szCs w:val="24"/>
          <w:lang w:val="en-GB"/>
        </w:rPr>
        <w:t xml:space="preserve"> comparative account of the roots of Brazil’s heavy tax burden</w:t>
      </w:r>
      <w:r w:rsidR="0069727C">
        <w:rPr>
          <w:rFonts w:ascii="Times New Roman" w:hAnsi="Times New Roman" w:cs="Times New Roman"/>
          <w:sz w:val="24"/>
          <w:szCs w:val="24"/>
          <w:lang w:val="en-GB"/>
        </w:rPr>
        <w:t xml:space="preserve"> is unconvincing, in-depth analyses of the Brazilian case </w:t>
      </w:r>
      <w:r w:rsidR="006058C9">
        <w:rPr>
          <w:rFonts w:ascii="Times New Roman" w:hAnsi="Times New Roman" w:cs="Times New Roman"/>
          <w:sz w:val="24"/>
          <w:szCs w:val="24"/>
          <w:lang w:val="en-GB"/>
        </w:rPr>
        <w:t xml:space="preserve">developed by </w:t>
      </w:r>
      <w:proofErr w:type="spellStart"/>
      <w:r w:rsidR="006058C9">
        <w:rPr>
          <w:rFonts w:ascii="Times New Roman" w:hAnsi="Times New Roman" w:cs="Times New Roman"/>
          <w:sz w:val="24"/>
          <w:szCs w:val="24"/>
          <w:lang w:val="en-GB"/>
        </w:rPr>
        <w:t>Melo</w:t>
      </w:r>
      <w:proofErr w:type="spellEnd"/>
      <w:r w:rsidR="0069727C">
        <w:rPr>
          <w:rFonts w:ascii="Times New Roman" w:hAnsi="Times New Roman" w:cs="Times New Roman"/>
          <w:sz w:val="24"/>
          <w:szCs w:val="24"/>
          <w:lang w:val="en-GB"/>
        </w:rPr>
        <w:t xml:space="preserve"> and other scholars</w:t>
      </w:r>
      <w:r w:rsidR="001024C0">
        <w:rPr>
          <w:rFonts w:ascii="Times New Roman" w:hAnsi="Times New Roman" w:cs="Times New Roman"/>
          <w:sz w:val="24"/>
          <w:szCs w:val="24"/>
          <w:lang w:val="en-GB"/>
        </w:rPr>
        <w:t xml:space="preserve"> do</w:t>
      </w:r>
      <w:r w:rsidR="008A22F0">
        <w:rPr>
          <w:rFonts w:ascii="Times New Roman" w:hAnsi="Times New Roman" w:cs="Times New Roman"/>
          <w:sz w:val="24"/>
          <w:szCs w:val="24"/>
          <w:lang w:val="en-GB"/>
        </w:rPr>
        <w:t xml:space="preserve"> furnish</w:t>
      </w:r>
      <w:r w:rsidR="001024C0">
        <w:rPr>
          <w:rFonts w:ascii="Times New Roman" w:hAnsi="Times New Roman" w:cs="Times New Roman"/>
          <w:sz w:val="24"/>
          <w:szCs w:val="24"/>
          <w:lang w:val="en-GB"/>
        </w:rPr>
        <w:t xml:space="preserve"> important</w:t>
      </w:r>
      <w:r>
        <w:rPr>
          <w:rFonts w:ascii="Times New Roman" w:hAnsi="Times New Roman" w:cs="Times New Roman"/>
          <w:sz w:val="24"/>
          <w:szCs w:val="24"/>
          <w:lang w:val="en-GB"/>
        </w:rPr>
        <w:t xml:space="preserve"> clues. </w:t>
      </w:r>
      <w:r w:rsidR="00FE2D3D" w:rsidRPr="00D9330B">
        <w:rPr>
          <w:rFonts w:ascii="Times New Roman" w:hAnsi="Times New Roman" w:cs="Times New Roman"/>
          <w:sz w:val="24"/>
          <w:szCs w:val="24"/>
          <w:lang w:val="en-GB"/>
        </w:rPr>
        <w:t>A</w:t>
      </w:r>
      <w:r w:rsidR="009657E3" w:rsidRPr="00D9330B">
        <w:rPr>
          <w:rFonts w:ascii="Times New Roman" w:hAnsi="Times New Roman" w:cs="Times New Roman"/>
          <w:sz w:val="24"/>
          <w:szCs w:val="24"/>
          <w:lang w:val="en-GB"/>
        </w:rPr>
        <w:t xml:space="preserve"> central</w:t>
      </w:r>
      <w:r w:rsidR="007E601E" w:rsidRPr="00D9330B">
        <w:rPr>
          <w:rFonts w:ascii="Times New Roman" w:hAnsi="Times New Roman" w:cs="Times New Roman"/>
          <w:sz w:val="24"/>
          <w:szCs w:val="24"/>
          <w:lang w:val="en-GB"/>
        </w:rPr>
        <w:t xml:space="preserve"> theme</w:t>
      </w:r>
      <w:r w:rsidR="001024C0">
        <w:rPr>
          <w:rFonts w:ascii="Times New Roman" w:hAnsi="Times New Roman" w:cs="Times New Roman"/>
          <w:sz w:val="24"/>
          <w:szCs w:val="24"/>
          <w:lang w:val="en-GB"/>
        </w:rPr>
        <w:t xml:space="preserve"> of this literature</w:t>
      </w:r>
      <w:r w:rsidR="00DD65D5" w:rsidRPr="00D9330B">
        <w:rPr>
          <w:rFonts w:ascii="Times New Roman" w:hAnsi="Times New Roman" w:cs="Times New Roman"/>
          <w:sz w:val="24"/>
          <w:szCs w:val="24"/>
          <w:lang w:val="en-GB"/>
        </w:rPr>
        <w:t xml:space="preserve"> is the robust growth of revenues since the early 1990s.</w:t>
      </w:r>
      <w:r w:rsidR="00DA7422" w:rsidRPr="00D9330B">
        <w:rPr>
          <w:rFonts w:ascii="Times New Roman" w:hAnsi="Times New Roman" w:cs="Times New Roman"/>
          <w:sz w:val="24"/>
          <w:szCs w:val="24"/>
          <w:lang w:val="en-GB"/>
        </w:rPr>
        <w:t xml:space="preserve"> While ack</w:t>
      </w:r>
      <w:r w:rsidR="0016763F" w:rsidRPr="00D9330B">
        <w:rPr>
          <w:rFonts w:ascii="Times New Roman" w:hAnsi="Times New Roman" w:cs="Times New Roman"/>
          <w:sz w:val="24"/>
          <w:szCs w:val="24"/>
          <w:lang w:val="en-GB"/>
        </w:rPr>
        <w:t>nowledging the role of the Real Plan</w:t>
      </w:r>
      <w:r w:rsidR="00DA7422" w:rsidRPr="00D9330B">
        <w:rPr>
          <w:rFonts w:ascii="Times New Roman" w:hAnsi="Times New Roman" w:cs="Times New Roman"/>
          <w:sz w:val="24"/>
          <w:szCs w:val="24"/>
          <w:lang w:val="en-GB"/>
        </w:rPr>
        <w:t>, most analyses</w:t>
      </w:r>
      <w:r w:rsidR="00BA2D01" w:rsidRPr="00D9330B">
        <w:rPr>
          <w:rFonts w:ascii="Times New Roman" w:hAnsi="Times New Roman" w:cs="Times New Roman"/>
          <w:sz w:val="24"/>
          <w:szCs w:val="24"/>
          <w:lang w:val="en-GB"/>
        </w:rPr>
        <w:t xml:space="preserve"> view this increase </w:t>
      </w:r>
      <w:r w:rsidR="00DA7422" w:rsidRPr="00D9330B">
        <w:rPr>
          <w:rFonts w:ascii="Times New Roman" w:hAnsi="Times New Roman" w:cs="Times New Roman"/>
          <w:sz w:val="24"/>
          <w:szCs w:val="24"/>
          <w:lang w:val="en-GB"/>
        </w:rPr>
        <w:t>mainl</w:t>
      </w:r>
      <w:r w:rsidR="005D1E06" w:rsidRPr="00D9330B">
        <w:rPr>
          <w:rFonts w:ascii="Times New Roman" w:hAnsi="Times New Roman" w:cs="Times New Roman"/>
          <w:sz w:val="24"/>
          <w:szCs w:val="24"/>
          <w:lang w:val="en-GB"/>
        </w:rPr>
        <w:t>y</w:t>
      </w:r>
      <w:r w:rsidR="00BA2D01" w:rsidRPr="00D9330B">
        <w:rPr>
          <w:rFonts w:ascii="Times New Roman" w:hAnsi="Times New Roman" w:cs="Times New Roman"/>
          <w:sz w:val="24"/>
          <w:szCs w:val="24"/>
          <w:lang w:val="en-GB"/>
        </w:rPr>
        <w:t xml:space="preserve"> as</w:t>
      </w:r>
      <w:r w:rsidR="005D1E06" w:rsidRPr="00D9330B">
        <w:rPr>
          <w:rFonts w:ascii="Times New Roman" w:hAnsi="Times New Roman" w:cs="Times New Roman"/>
          <w:sz w:val="24"/>
          <w:szCs w:val="24"/>
          <w:lang w:val="en-GB"/>
        </w:rPr>
        <w:t xml:space="preserve"> </w:t>
      </w:r>
      <w:r w:rsidR="007A0038" w:rsidRPr="00D9330B">
        <w:rPr>
          <w:rFonts w:ascii="Times New Roman" w:hAnsi="Times New Roman" w:cs="Times New Roman"/>
          <w:sz w:val="24"/>
          <w:szCs w:val="24"/>
          <w:lang w:val="en-GB"/>
        </w:rPr>
        <w:t>a consequence of the</w:t>
      </w:r>
      <w:r w:rsidR="00DA68C2" w:rsidRPr="00D9330B">
        <w:rPr>
          <w:rFonts w:ascii="Times New Roman" w:hAnsi="Times New Roman" w:cs="Times New Roman"/>
          <w:sz w:val="24"/>
          <w:szCs w:val="24"/>
          <w:lang w:val="en-GB"/>
        </w:rPr>
        <w:t xml:space="preserve"> new constitution</w:t>
      </w:r>
      <w:r w:rsidR="00BB32D3" w:rsidRPr="00D9330B">
        <w:rPr>
          <w:rFonts w:ascii="Times New Roman" w:hAnsi="Times New Roman" w:cs="Times New Roman"/>
          <w:sz w:val="24"/>
          <w:szCs w:val="24"/>
          <w:lang w:val="en-GB"/>
        </w:rPr>
        <w:t xml:space="preserve"> drafted in 1987-1988</w:t>
      </w:r>
      <w:r w:rsidR="00DA68C2" w:rsidRPr="00D9330B">
        <w:rPr>
          <w:rFonts w:ascii="Times New Roman" w:hAnsi="Times New Roman" w:cs="Times New Roman"/>
          <w:sz w:val="24"/>
          <w:szCs w:val="24"/>
          <w:lang w:val="en-GB"/>
        </w:rPr>
        <w:t>.</w:t>
      </w:r>
      <w:r w:rsidR="008B4A79" w:rsidRPr="00D9330B">
        <w:rPr>
          <w:rStyle w:val="FootnoteReference"/>
          <w:rFonts w:ascii="Times New Roman" w:hAnsi="Times New Roman" w:cs="Times New Roman"/>
          <w:sz w:val="24"/>
          <w:szCs w:val="24"/>
          <w:lang w:val="en-GB"/>
        </w:rPr>
        <w:footnoteReference w:id="51"/>
      </w:r>
      <w:r w:rsidR="00FE2D3D" w:rsidRPr="00D9330B">
        <w:rPr>
          <w:rFonts w:ascii="Times New Roman" w:hAnsi="Times New Roman" w:cs="Times New Roman"/>
          <w:sz w:val="24"/>
          <w:szCs w:val="24"/>
          <w:lang w:val="en-GB"/>
        </w:rPr>
        <w:t xml:space="preserve"> </w:t>
      </w:r>
      <w:r w:rsidR="00BB32D3" w:rsidRPr="00D9330B">
        <w:rPr>
          <w:rFonts w:ascii="Times New Roman" w:hAnsi="Times New Roman" w:cs="Times New Roman"/>
          <w:sz w:val="24"/>
          <w:szCs w:val="24"/>
          <w:lang w:val="en-GB"/>
        </w:rPr>
        <w:t>The</w:t>
      </w:r>
      <w:r w:rsidR="009901FC">
        <w:rPr>
          <w:rFonts w:ascii="Times New Roman" w:hAnsi="Times New Roman" w:cs="Times New Roman"/>
          <w:sz w:val="24"/>
          <w:szCs w:val="24"/>
          <w:lang w:val="en-GB"/>
        </w:rPr>
        <w:t xml:space="preserve"> 1988 c</w:t>
      </w:r>
      <w:r w:rsidR="00751294" w:rsidRPr="00D9330B">
        <w:rPr>
          <w:rFonts w:ascii="Times New Roman" w:hAnsi="Times New Roman" w:cs="Times New Roman"/>
          <w:sz w:val="24"/>
          <w:szCs w:val="24"/>
          <w:lang w:val="en-GB"/>
        </w:rPr>
        <w:t>onsti</w:t>
      </w:r>
      <w:r w:rsidR="007A0038" w:rsidRPr="00D9330B">
        <w:rPr>
          <w:rFonts w:ascii="Times New Roman" w:hAnsi="Times New Roman" w:cs="Times New Roman"/>
          <w:sz w:val="24"/>
          <w:szCs w:val="24"/>
          <w:lang w:val="en-GB"/>
        </w:rPr>
        <w:t>tution substantially expanded the federal government’</w:t>
      </w:r>
      <w:r w:rsidR="002B60E0" w:rsidRPr="00D9330B">
        <w:rPr>
          <w:rFonts w:ascii="Times New Roman" w:hAnsi="Times New Roman" w:cs="Times New Roman"/>
          <w:sz w:val="24"/>
          <w:szCs w:val="24"/>
          <w:lang w:val="en-GB"/>
        </w:rPr>
        <w:t>s commitments to social spending,</w:t>
      </w:r>
      <w:r w:rsidR="00751294" w:rsidRPr="00D9330B">
        <w:rPr>
          <w:rFonts w:ascii="Times New Roman" w:hAnsi="Times New Roman" w:cs="Times New Roman"/>
          <w:sz w:val="24"/>
          <w:szCs w:val="24"/>
          <w:lang w:val="en-GB"/>
        </w:rPr>
        <w:t xml:space="preserve"> especially in the area of retirement</w:t>
      </w:r>
      <w:r w:rsidR="00E17570" w:rsidRPr="00D9330B">
        <w:rPr>
          <w:rFonts w:ascii="Times New Roman" w:hAnsi="Times New Roman" w:cs="Times New Roman"/>
          <w:sz w:val="24"/>
          <w:szCs w:val="24"/>
          <w:lang w:val="en-GB"/>
        </w:rPr>
        <w:t xml:space="preserve"> pensions. It brought</w:t>
      </w:r>
      <w:r w:rsidR="00D407FC" w:rsidRPr="00D9330B">
        <w:rPr>
          <w:rFonts w:ascii="Times New Roman" w:hAnsi="Times New Roman" w:cs="Times New Roman"/>
          <w:sz w:val="24"/>
          <w:szCs w:val="24"/>
          <w:lang w:val="en-GB"/>
        </w:rPr>
        <w:t xml:space="preserve"> rural workers</w:t>
      </w:r>
      <w:r w:rsidR="00E17570" w:rsidRPr="00D9330B">
        <w:rPr>
          <w:rFonts w:ascii="Times New Roman" w:hAnsi="Times New Roman" w:cs="Times New Roman"/>
          <w:sz w:val="24"/>
          <w:szCs w:val="24"/>
          <w:lang w:val="en-GB"/>
        </w:rPr>
        <w:t xml:space="preserve"> into the general pension system for private sector workers on a non-contributory basis</w:t>
      </w:r>
      <w:r w:rsidR="00D407FC" w:rsidRPr="00D9330B">
        <w:rPr>
          <w:rFonts w:ascii="Times New Roman" w:hAnsi="Times New Roman" w:cs="Times New Roman"/>
          <w:sz w:val="24"/>
          <w:szCs w:val="24"/>
          <w:lang w:val="en-GB"/>
        </w:rPr>
        <w:t>, established</w:t>
      </w:r>
      <w:r w:rsidR="00751294" w:rsidRPr="00D9330B">
        <w:rPr>
          <w:rFonts w:ascii="Times New Roman" w:hAnsi="Times New Roman" w:cs="Times New Roman"/>
          <w:sz w:val="24"/>
          <w:szCs w:val="24"/>
          <w:lang w:val="en-GB"/>
        </w:rPr>
        <w:t xml:space="preserve"> the legal m</w:t>
      </w:r>
      <w:r w:rsidR="000F12D4" w:rsidRPr="00D9330B">
        <w:rPr>
          <w:rFonts w:ascii="Times New Roman" w:hAnsi="Times New Roman" w:cs="Times New Roman"/>
          <w:sz w:val="24"/>
          <w:szCs w:val="24"/>
          <w:lang w:val="en-GB"/>
        </w:rPr>
        <w:t>inimum wage as the floor for</w:t>
      </w:r>
      <w:r w:rsidR="00751294" w:rsidRPr="00D9330B">
        <w:rPr>
          <w:rFonts w:ascii="Times New Roman" w:hAnsi="Times New Roman" w:cs="Times New Roman"/>
          <w:sz w:val="24"/>
          <w:szCs w:val="24"/>
          <w:lang w:val="en-GB"/>
        </w:rPr>
        <w:t xml:space="preserve"> </w:t>
      </w:r>
      <w:r w:rsidR="00546D6D" w:rsidRPr="00D9330B">
        <w:rPr>
          <w:rFonts w:ascii="Times New Roman" w:hAnsi="Times New Roman" w:cs="Times New Roman"/>
          <w:sz w:val="24"/>
          <w:szCs w:val="24"/>
          <w:lang w:val="en-GB"/>
        </w:rPr>
        <w:t>all public</w:t>
      </w:r>
      <w:r w:rsidR="00751294" w:rsidRPr="00D9330B">
        <w:rPr>
          <w:rFonts w:ascii="Times New Roman" w:hAnsi="Times New Roman" w:cs="Times New Roman"/>
          <w:sz w:val="24"/>
          <w:szCs w:val="24"/>
          <w:lang w:val="en-GB"/>
        </w:rPr>
        <w:t xml:space="preserve"> </w:t>
      </w:r>
      <w:r w:rsidR="00E17570" w:rsidRPr="00D9330B">
        <w:rPr>
          <w:rFonts w:ascii="Times New Roman" w:hAnsi="Times New Roman" w:cs="Times New Roman"/>
          <w:sz w:val="24"/>
          <w:szCs w:val="24"/>
          <w:lang w:val="en-GB"/>
        </w:rPr>
        <w:t>pension</w:t>
      </w:r>
      <w:r w:rsidR="00751294" w:rsidRPr="00D9330B">
        <w:rPr>
          <w:rFonts w:ascii="Times New Roman" w:hAnsi="Times New Roman" w:cs="Times New Roman"/>
          <w:sz w:val="24"/>
          <w:szCs w:val="24"/>
          <w:lang w:val="en-GB"/>
        </w:rPr>
        <w:t>s, and</w:t>
      </w:r>
      <w:r w:rsidR="00D407FC" w:rsidRPr="00D9330B">
        <w:rPr>
          <w:rFonts w:ascii="Times New Roman" w:hAnsi="Times New Roman" w:cs="Times New Roman"/>
          <w:sz w:val="24"/>
          <w:szCs w:val="24"/>
          <w:lang w:val="en-GB"/>
        </w:rPr>
        <w:t xml:space="preserve"> upgraded</w:t>
      </w:r>
      <w:r w:rsidR="00546D6D" w:rsidRPr="00D9330B">
        <w:rPr>
          <w:rFonts w:ascii="Times New Roman" w:hAnsi="Times New Roman" w:cs="Times New Roman"/>
          <w:sz w:val="24"/>
          <w:szCs w:val="24"/>
          <w:lang w:val="en-GB"/>
        </w:rPr>
        <w:t xml:space="preserve"> the pension system for public employees at all levels of government</w:t>
      </w:r>
      <w:r w:rsidR="00BB32D3" w:rsidRPr="00D9330B">
        <w:rPr>
          <w:rFonts w:ascii="Times New Roman" w:hAnsi="Times New Roman" w:cs="Times New Roman"/>
          <w:sz w:val="24"/>
          <w:szCs w:val="24"/>
          <w:lang w:val="en-GB"/>
        </w:rPr>
        <w:t xml:space="preserve">. These provisions </w:t>
      </w:r>
      <w:r w:rsidR="00E17570" w:rsidRPr="00D9330B">
        <w:rPr>
          <w:rFonts w:ascii="Times New Roman" w:hAnsi="Times New Roman" w:cs="Times New Roman"/>
          <w:sz w:val="24"/>
          <w:szCs w:val="24"/>
          <w:lang w:val="en-GB"/>
        </w:rPr>
        <w:t>caused pension spending in b</w:t>
      </w:r>
      <w:r w:rsidR="006D6E9E" w:rsidRPr="00D9330B">
        <w:rPr>
          <w:rFonts w:ascii="Times New Roman" w:hAnsi="Times New Roman" w:cs="Times New Roman"/>
          <w:sz w:val="24"/>
          <w:szCs w:val="24"/>
          <w:lang w:val="en-GB"/>
        </w:rPr>
        <w:t>oth categories to surge</w:t>
      </w:r>
      <w:r w:rsidR="007A0038" w:rsidRPr="00D9330B">
        <w:rPr>
          <w:rFonts w:ascii="Times New Roman" w:hAnsi="Times New Roman" w:cs="Times New Roman"/>
          <w:sz w:val="24"/>
          <w:szCs w:val="24"/>
          <w:lang w:val="en-GB"/>
        </w:rPr>
        <w:t>.</w:t>
      </w:r>
    </w:p>
    <w:p w:rsidR="00882720" w:rsidRPr="00D9330B" w:rsidRDefault="007A0038" w:rsidP="00D407FC">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At the same time, however, the constitution increased the proportion of revenues from the federal income</w:t>
      </w:r>
      <w:r w:rsidR="00F93543" w:rsidRPr="00D9330B">
        <w:rPr>
          <w:rFonts w:ascii="Times New Roman" w:hAnsi="Times New Roman" w:cs="Times New Roman"/>
          <w:sz w:val="24"/>
          <w:szCs w:val="24"/>
          <w:lang w:val="en-GB"/>
        </w:rPr>
        <w:t xml:space="preserve"> and consumption taxes</w:t>
      </w:r>
      <w:r w:rsidR="009A1EE9" w:rsidRPr="00D9330B">
        <w:rPr>
          <w:rFonts w:ascii="Times New Roman" w:hAnsi="Times New Roman" w:cs="Times New Roman"/>
          <w:sz w:val="24"/>
          <w:szCs w:val="24"/>
          <w:lang w:val="en-GB"/>
        </w:rPr>
        <w:t xml:space="preserve"> transferr</w:t>
      </w:r>
      <w:r w:rsidR="00C94F31" w:rsidRPr="00D9330B">
        <w:rPr>
          <w:rFonts w:ascii="Times New Roman" w:hAnsi="Times New Roman" w:cs="Times New Roman"/>
          <w:sz w:val="24"/>
          <w:szCs w:val="24"/>
          <w:lang w:val="en-GB"/>
        </w:rPr>
        <w:t>ed to</w:t>
      </w:r>
      <w:r w:rsidRPr="00D9330B">
        <w:rPr>
          <w:rFonts w:ascii="Times New Roman" w:hAnsi="Times New Roman" w:cs="Times New Roman"/>
          <w:sz w:val="24"/>
          <w:szCs w:val="24"/>
          <w:lang w:val="en-GB"/>
        </w:rPr>
        <w:t xml:space="preserve"> states</w:t>
      </w:r>
      <w:r w:rsidR="00C94F31" w:rsidRPr="00D9330B">
        <w:rPr>
          <w:rFonts w:ascii="Times New Roman" w:hAnsi="Times New Roman" w:cs="Times New Roman"/>
          <w:sz w:val="24"/>
          <w:szCs w:val="24"/>
          <w:lang w:val="en-GB"/>
        </w:rPr>
        <w:t xml:space="preserve"> and municipalities</w:t>
      </w:r>
      <w:r w:rsidRPr="00D9330B">
        <w:rPr>
          <w:rFonts w:ascii="Times New Roman" w:hAnsi="Times New Roman" w:cs="Times New Roman"/>
          <w:sz w:val="24"/>
          <w:szCs w:val="24"/>
          <w:lang w:val="en-GB"/>
        </w:rPr>
        <w:t xml:space="preserve">, diminishing </w:t>
      </w:r>
      <w:r w:rsidR="00F93543" w:rsidRPr="00D9330B">
        <w:rPr>
          <w:rFonts w:ascii="Times New Roman" w:hAnsi="Times New Roman" w:cs="Times New Roman"/>
          <w:sz w:val="24"/>
          <w:szCs w:val="24"/>
          <w:lang w:val="en-GB"/>
        </w:rPr>
        <w:t>the</w:t>
      </w:r>
      <w:r w:rsidR="002B60E0" w:rsidRPr="00D9330B">
        <w:rPr>
          <w:rFonts w:ascii="Times New Roman" w:hAnsi="Times New Roman" w:cs="Times New Roman"/>
          <w:sz w:val="24"/>
          <w:szCs w:val="24"/>
          <w:lang w:val="en-GB"/>
        </w:rPr>
        <w:t xml:space="preserve"> resources </w:t>
      </w:r>
      <w:r w:rsidRPr="00D9330B">
        <w:rPr>
          <w:rFonts w:ascii="Times New Roman" w:hAnsi="Times New Roman" w:cs="Times New Roman"/>
          <w:sz w:val="24"/>
          <w:szCs w:val="24"/>
          <w:lang w:val="en-GB"/>
        </w:rPr>
        <w:t>available at the federal level</w:t>
      </w:r>
      <w:r w:rsidR="009A1EE9" w:rsidRPr="00D9330B">
        <w:rPr>
          <w:rFonts w:ascii="Times New Roman" w:hAnsi="Times New Roman" w:cs="Times New Roman"/>
          <w:sz w:val="24"/>
          <w:szCs w:val="24"/>
          <w:lang w:val="en-GB"/>
        </w:rPr>
        <w:t xml:space="preserve"> with</w:t>
      </w:r>
      <w:r w:rsidR="00C94F31" w:rsidRPr="00D9330B">
        <w:rPr>
          <w:rFonts w:ascii="Times New Roman" w:hAnsi="Times New Roman" w:cs="Times New Roman"/>
          <w:sz w:val="24"/>
          <w:szCs w:val="24"/>
          <w:lang w:val="en-GB"/>
        </w:rPr>
        <w:t>out a proportional reduction of</w:t>
      </w:r>
      <w:r w:rsidR="00F93543" w:rsidRPr="00D9330B">
        <w:rPr>
          <w:rFonts w:ascii="Times New Roman" w:hAnsi="Times New Roman" w:cs="Times New Roman"/>
          <w:sz w:val="24"/>
          <w:szCs w:val="24"/>
          <w:lang w:val="en-GB"/>
        </w:rPr>
        <w:t xml:space="preserve"> spending responsibility</w:t>
      </w:r>
      <w:r w:rsidRPr="00D9330B">
        <w:rPr>
          <w:rFonts w:ascii="Times New Roman" w:hAnsi="Times New Roman" w:cs="Times New Roman"/>
          <w:sz w:val="24"/>
          <w:szCs w:val="24"/>
          <w:lang w:val="en-GB"/>
        </w:rPr>
        <w:t xml:space="preserve">. </w:t>
      </w:r>
      <w:r w:rsidR="000A1740" w:rsidRPr="00D9330B">
        <w:rPr>
          <w:rFonts w:ascii="Times New Roman" w:hAnsi="Times New Roman" w:cs="Times New Roman"/>
          <w:sz w:val="24"/>
          <w:szCs w:val="24"/>
          <w:lang w:val="en-GB"/>
        </w:rPr>
        <w:t>F</w:t>
      </w:r>
      <w:r w:rsidR="00BB32D3" w:rsidRPr="00D9330B">
        <w:rPr>
          <w:rFonts w:ascii="Times New Roman" w:hAnsi="Times New Roman" w:cs="Times New Roman"/>
          <w:sz w:val="24"/>
          <w:szCs w:val="24"/>
          <w:lang w:val="en-GB"/>
        </w:rPr>
        <w:t xml:space="preserve">ederal authorities responded </w:t>
      </w:r>
      <w:r w:rsidR="00D407FC" w:rsidRPr="00D9330B">
        <w:rPr>
          <w:rFonts w:ascii="Times New Roman" w:hAnsi="Times New Roman" w:cs="Times New Roman"/>
          <w:sz w:val="24"/>
          <w:szCs w:val="24"/>
          <w:lang w:val="en-GB"/>
        </w:rPr>
        <w:t>by creating new ‘</w:t>
      </w:r>
      <w:r w:rsidR="00BB32D3" w:rsidRPr="00D9330B">
        <w:rPr>
          <w:rFonts w:ascii="Times New Roman" w:hAnsi="Times New Roman" w:cs="Times New Roman"/>
          <w:sz w:val="24"/>
          <w:szCs w:val="24"/>
          <w:lang w:val="en-GB"/>
        </w:rPr>
        <w:t>contributions’</w:t>
      </w:r>
      <w:r w:rsidR="00FE2D3D" w:rsidRPr="00D9330B">
        <w:rPr>
          <w:rFonts w:ascii="Times New Roman" w:hAnsi="Times New Roman" w:cs="Times New Roman"/>
          <w:sz w:val="24"/>
          <w:szCs w:val="24"/>
          <w:lang w:val="en-GB"/>
        </w:rPr>
        <w:t xml:space="preserve">, </w:t>
      </w:r>
      <w:r w:rsidR="00BB32D3" w:rsidRPr="00D9330B">
        <w:rPr>
          <w:rFonts w:ascii="Times New Roman" w:hAnsi="Times New Roman" w:cs="Times New Roman"/>
          <w:sz w:val="24"/>
          <w:szCs w:val="24"/>
          <w:lang w:val="en-GB"/>
        </w:rPr>
        <w:t xml:space="preserve">a </w:t>
      </w:r>
      <w:r w:rsidR="008B4A79" w:rsidRPr="00D9330B">
        <w:rPr>
          <w:rFonts w:ascii="Times New Roman" w:hAnsi="Times New Roman" w:cs="Times New Roman"/>
          <w:sz w:val="24"/>
          <w:szCs w:val="24"/>
          <w:lang w:val="en-GB"/>
        </w:rPr>
        <w:t xml:space="preserve">legal </w:t>
      </w:r>
      <w:r w:rsidR="00EB7C16" w:rsidRPr="00D9330B">
        <w:rPr>
          <w:rFonts w:ascii="Times New Roman" w:hAnsi="Times New Roman" w:cs="Times New Roman"/>
          <w:sz w:val="24"/>
          <w:szCs w:val="24"/>
          <w:lang w:val="en-GB"/>
        </w:rPr>
        <w:t>category of tax</w:t>
      </w:r>
      <w:r w:rsidR="008B4A79" w:rsidRPr="00D9330B">
        <w:rPr>
          <w:rFonts w:ascii="Times New Roman" w:hAnsi="Times New Roman" w:cs="Times New Roman"/>
          <w:sz w:val="24"/>
          <w:szCs w:val="24"/>
          <w:lang w:val="en-GB"/>
        </w:rPr>
        <w:t xml:space="preserve"> earmarked for a particular purpose</w:t>
      </w:r>
      <w:r w:rsidR="002C5F39" w:rsidRPr="00D9330B">
        <w:rPr>
          <w:rFonts w:ascii="Times New Roman" w:hAnsi="Times New Roman" w:cs="Times New Roman"/>
          <w:sz w:val="24"/>
          <w:szCs w:val="24"/>
          <w:lang w:val="en-GB"/>
        </w:rPr>
        <w:t xml:space="preserve"> and</w:t>
      </w:r>
      <w:r w:rsidR="007203D9" w:rsidRPr="00D9330B">
        <w:rPr>
          <w:rFonts w:ascii="Times New Roman" w:hAnsi="Times New Roman" w:cs="Times New Roman"/>
          <w:sz w:val="24"/>
          <w:szCs w:val="24"/>
          <w:lang w:val="en-GB"/>
        </w:rPr>
        <w:t xml:space="preserve"> not</w:t>
      </w:r>
      <w:r w:rsidR="008B4A79" w:rsidRPr="00D9330B">
        <w:rPr>
          <w:rFonts w:ascii="Times New Roman" w:hAnsi="Times New Roman" w:cs="Times New Roman"/>
          <w:sz w:val="24"/>
          <w:szCs w:val="24"/>
          <w:lang w:val="en-GB"/>
        </w:rPr>
        <w:t xml:space="preserve"> shared with</w:t>
      </w:r>
      <w:r w:rsidR="00BB32D3" w:rsidRPr="00D9330B">
        <w:rPr>
          <w:rFonts w:ascii="Times New Roman" w:hAnsi="Times New Roman" w:cs="Times New Roman"/>
          <w:sz w:val="24"/>
          <w:szCs w:val="24"/>
          <w:lang w:val="en-GB"/>
        </w:rPr>
        <w:t xml:space="preserve"> state governments</w:t>
      </w:r>
      <w:r w:rsidR="00FE2D3D" w:rsidRPr="00D9330B">
        <w:rPr>
          <w:rFonts w:ascii="Times New Roman" w:hAnsi="Times New Roman" w:cs="Times New Roman"/>
          <w:sz w:val="24"/>
          <w:szCs w:val="24"/>
          <w:lang w:val="en-GB"/>
        </w:rPr>
        <w:t>,</w:t>
      </w:r>
      <w:r w:rsidR="00BB32D3" w:rsidRPr="00D9330B">
        <w:rPr>
          <w:rFonts w:ascii="Times New Roman" w:hAnsi="Times New Roman" w:cs="Times New Roman"/>
          <w:sz w:val="24"/>
          <w:szCs w:val="24"/>
          <w:lang w:val="en-GB"/>
        </w:rPr>
        <w:t xml:space="preserve"> and increasi</w:t>
      </w:r>
      <w:r w:rsidR="00D407FC" w:rsidRPr="00D9330B">
        <w:rPr>
          <w:rFonts w:ascii="Times New Roman" w:hAnsi="Times New Roman" w:cs="Times New Roman"/>
          <w:sz w:val="24"/>
          <w:szCs w:val="24"/>
          <w:lang w:val="en-GB"/>
        </w:rPr>
        <w:t xml:space="preserve">ng the rates of existing </w:t>
      </w:r>
      <w:r w:rsidR="00BB32D3" w:rsidRPr="00D9330B">
        <w:rPr>
          <w:rFonts w:ascii="Times New Roman" w:hAnsi="Times New Roman" w:cs="Times New Roman"/>
          <w:sz w:val="24"/>
          <w:szCs w:val="24"/>
          <w:lang w:val="en-GB"/>
        </w:rPr>
        <w:t>contributions.</w:t>
      </w:r>
      <w:r w:rsidR="00EB7C16" w:rsidRPr="00D9330B">
        <w:rPr>
          <w:rFonts w:ascii="Times New Roman" w:hAnsi="Times New Roman" w:cs="Times New Roman"/>
          <w:sz w:val="24"/>
          <w:szCs w:val="24"/>
          <w:lang w:val="en-GB"/>
        </w:rPr>
        <w:t xml:space="preserve"> The resulting boom in federal</w:t>
      </w:r>
      <w:r w:rsidR="00081466" w:rsidRPr="00D9330B">
        <w:rPr>
          <w:rFonts w:ascii="Times New Roman" w:hAnsi="Times New Roman" w:cs="Times New Roman"/>
          <w:sz w:val="24"/>
          <w:szCs w:val="24"/>
          <w:lang w:val="en-GB"/>
        </w:rPr>
        <w:t xml:space="preserve"> </w:t>
      </w:r>
      <w:r w:rsidR="0069308E" w:rsidRPr="00D9330B">
        <w:rPr>
          <w:rFonts w:ascii="Times New Roman" w:hAnsi="Times New Roman" w:cs="Times New Roman"/>
          <w:sz w:val="24"/>
          <w:szCs w:val="24"/>
          <w:lang w:val="en-GB"/>
        </w:rPr>
        <w:t>revenues was reflected in a sustained rise in the tax burden</w:t>
      </w:r>
      <w:r w:rsidR="00081466" w:rsidRPr="00D9330B">
        <w:rPr>
          <w:rFonts w:ascii="Times New Roman" w:hAnsi="Times New Roman" w:cs="Times New Roman"/>
          <w:sz w:val="24"/>
          <w:szCs w:val="24"/>
          <w:lang w:val="en-GB"/>
        </w:rPr>
        <w:t>.</w:t>
      </w:r>
    </w:p>
    <w:p w:rsidR="0047494E" w:rsidRPr="00D9330B" w:rsidRDefault="0047494E" w:rsidP="0047494E">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This acco</w:t>
      </w:r>
      <w:r w:rsidR="001024C0">
        <w:rPr>
          <w:rFonts w:ascii="Times New Roman" w:hAnsi="Times New Roman" w:cs="Times New Roman"/>
          <w:sz w:val="24"/>
          <w:szCs w:val="24"/>
          <w:lang w:val="en-GB"/>
        </w:rPr>
        <w:t>unt</w:t>
      </w:r>
      <w:r w:rsidR="00421D1A" w:rsidRPr="00D9330B">
        <w:rPr>
          <w:rFonts w:ascii="Times New Roman" w:hAnsi="Times New Roman" w:cs="Times New Roman"/>
          <w:sz w:val="24"/>
          <w:szCs w:val="24"/>
          <w:lang w:val="en-GB"/>
        </w:rPr>
        <w:t xml:space="preserve"> implies</w:t>
      </w:r>
      <w:r w:rsidR="00F4377D" w:rsidRPr="00D9330B">
        <w:rPr>
          <w:rFonts w:ascii="Times New Roman" w:hAnsi="Times New Roman" w:cs="Times New Roman"/>
          <w:sz w:val="24"/>
          <w:szCs w:val="24"/>
          <w:lang w:val="en-GB"/>
        </w:rPr>
        <w:t xml:space="preserve"> that Brazil’s</w:t>
      </w:r>
      <w:r w:rsidRPr="00D9330B">
        <w:rPr>
          <w:rFonts w:ascii="Times New Roman" w:hAnsi="Times New Roman" w:cs="Times New Roman"/>
          <w:sz w:val="24"/>
          <w:szCs w:val="24"/>
          <w:lang w:val="en-GB"/>
        </w:rPr>
        <w:t xml:space="preserve"> heavy tax </w:t>
      </w:r>
      <w:r w:rsidR="00F93543" w:rsidRPr="00D9330B">
        <w:rPr>
          <w:rFonts w:ascii="Times New Roman" w:hAnsi="Times New Roman" w:cs="Times New Roman"/>
          <w:sz w:val="24"/>
          <w:szCs w:val="24"/>
          <w:lang w:val="en-GB"/>
        </w:rPr>
        <w:t>burden may be attributed</w:t>
      </w:r>
      <w:r w:rsidRPr="00D9330B">
        <w:rPr>
          <w:rFonts w:ascii="Times New Roman" w:hAnsi="Times New Roman" w:cs="Times New Roman"/>
          <w:sz w:val="24"/>
          <w:szCs w:val="24"/>
          <w:lang w:val="en-GB"/>
        </w:rPr>
        <w:t xml:space="preserve"> to an exceptional case of institutional change. Of course, Brazil is by no mean</w:t>
      </w:r>
      <w:r w:rsidR="00DA7422" w:rsidRPr="00D9330B">
        <w:rPr>
          <w:rFonts w:ascii="Times New Roman" w:hAnsi="Times New Roman" w:cs="Times New Roman"/>
          <w:sz w:val="24"/>
          <w:szCs w:val="24"/>
          <w:lang w:val="en-GB"/>
        </w:rPr>
        <w:t>s the only country in Latin America</w:t>
      </w:r>
      <w:r w:rsidRPr="00D9330B">
        <w:rPr>
          <w:rFonts w:ascii="Times New Roman" w:hAnsi="Times New Roman" w:cs="Times New Roman"/>
          <w:sz w:val="24"/>
          <w:szCs w:val="24"/>
          <w:lang w:val="en-GB"/>
        </w:rPr>
        <w:t xml:space="preserve"> that has drafted a new constitution in recent de</w:t>
      </w:r>
      <w:r w:rsidR="003B50F4">
        <w:rPr>
          <w:rFonts w:ascii="Times New Roman" w:hAnsi="Times New Roman" w:cs="Times New Roman"/>
          <w:sz w:val="24"/>
          <w:szCs w:val="24"/>
          <w:lang w:val="en-GB"/>
        </w:rPr>
        <w:t>cades. Between 1978 and 2009, 16</w:t>
      </w:r>
      <w:r w:rsidRPr="00D9330B">
        <w:rPr>
          <w:rFonts w:ascii="Times New Roman" w:hAnsi="Times New Roman" w:cs="Times New Roman"/>
          <w:sz w:val="24"/>
          <w:szCs w:val="24"/>
          <w:lang w:val="en-GB"/>
        </w:rPr>
        <w:t xml:space="preserve"> new </w:t>
      </w:r>
      <w:r w:rsidRPr="00D9330B">
        <w:rPr>
          <w:rFonts w:ascii="Times New Roman" w:hAnsi="Times New Roman" w:cs="Times New Roman"/>
          <w:sz w:val="24"/>
          <w:szCs w:val="24"/>
          <w:lang w:val="en-GB"/>
        </w:rPr>
        <w:lastRenderedPageBreak/>
        <w:t>constitutions were approved.</w:t>
      </w:r>
      <w:r w:rsidR="004B07D9" w:rsidRPr="00D9330B">
        <w:rPr>
          <w:rStyle w:val="FootnoteReference"/>
          <w:rFonts w:ascii="Times New Roman" w:hAnsi="Times New Roman" w:cs="Times New Roman"/>
          <w:sz w:val="24"/>
          <w:szCs w:val="24"/>
          <w:lang w:val="en-GB"/>
        </w:rPr>
        <w:footnoteReference w:id="52"/>
      </w:r>
      <w:r w:rsidR="00DC669F" w:rsidRPr="00D9330B">
        <w:rPr>
          <w:rFonts w:ascii="Times New Roman" w:hAnsi="Times New Roman" w:cs="Times New Roman"/>
          <w:sz w:val="24"/>
          <w:szCs w:val="24"/>
          <w:lang w:val="en-GB"/>
        </w:rPr>
        <w:t xml:space="preserve"> However, Brazil’s</w:t>
      </w:r>
      <w:r w:rsidR="00F6782F" w:rsidRPr="00D9330B">
        <w:rPr>
          <w:rFonts w:ascii="Times New Roman" w:hAnsi="Times New Roman" w:cs="Times New Roman"/>
          <w:sz w:val="24"/>
          <w:szCs w:val="24"/>
          <w:lang w:val="en-GB"/>
        </w:rPr>
        <w:t xml:space="preserve"> constitution does</w:t>
      </w:r>
      <w:r w:rsidR="009F6444" w:rsidRPr="00D9330B">
        <w:rPr>
          <w:rFonts w:ascii="Times New Roman" w:hAnsi="Times New Roman" w:cs="Times New Roman"/>
          <w:sz w:val="24"/>
          <w:szCs w:val="24"/>
          <w:lang w:val="en-GB"/>
        </w:rPr>
        <w:t xml:space="preserve"> </w:t>
      </w:r>
      <w:r w:rsidR="004575B3" w:rsidRPr="00D9330B">
        <w:rPr>
          <w:rFonts w:ascii="Times New Roman" w:hAnsi="Times New Roman" w:cs="Times New Roman"/>
          <w:sz w:val="24"/>
          <w:szCs w:val="24"/>
          <w:lang w:val="en-GB"/>
        </w:rPr>
        <w:t>stand out in terms of the extent to which it deals with specific p</w:t>
      </w:r>
      <w:r w:rsidR="008F4B7A" w:rsidRPr="00D9330B">
        <w:rPr>
          <w:rFonts w:ascii="Times New Roman" w:hAnsi="Times New Roman" w:cs="Times New Roman"/>
          <w:sz w:val="24"/>
          <w:szCs w:val="24"/>
          <w:lang w:val="en-GB"/>
        </w:rPr>
        <w:t>olicies, rather than with</w:t>
      </w:r>
      <w:r w:rsidR="004575B3" w:rsidRPr="00D9330B">
        <w:rPr>
          <w:rFonts w:ascii="Times New Roman" w:hAnsi="Times New Roman" w:cs="Times New Roman"/>
          <w:sz w:val="24"/>
          <w:szCs w:val="24"/>
          <w:lang w:val="en-GB"/>
        </w:rPr>
        <w:t xml:space="preserve"> institutional structures alone.</w:t>
      </w:r>
      <w:r w:rsidR="009F6444" w:rsidRPr="00D9330B">
        <w:rPr>
          <w:rStyle w:val="FootnoteReference"/>
          <w:rFonts w:ascii="Times New Roman" w:hAnsi="Times New Roman" w:cs="Times New Roman"/>
          <w:sz w:val="24"/>
          <w:szCs w:val="24"/>
          <w:lang w:val="en-GB"/>
        </w:rPr>
        <w:footnoteReference w:id="53"/>
      </w:r>
      <w:r w:rsidR="004575B3" w:rsidRPr="00D9330B">
        <w:rPr>
          <w:rFonts w:ascii="Times New Roman" w:hAnsi="Times New Roman" w:cs="Times New Roman"/>
          <w:sz w:val="24"/>
          <w:szCs w:val="24"/>
          <w:lang w:val="en-GB"/>
        </w:rPr>
        <w:t xml:space="preserve"> This characteristic ha</w:t>
      </w:r>
      <w:r w:rsidR="00F6782F" w:rsidRPr="00D9330B">
        <w:rPr>
          <w:rFonts w:ascii="Times New Roman" w:hAnsi="Times New Roman" w:cs="Times New Roman"/>
          <w:sz w:val="24"/>
          <w:szCs w:val="24"/>
          <w:lang w:val="en-GB"/>
        </w:rPr>
        <w:t>s been attributed to the</w:t>
      </w:r>
      <w:r w:rsidR="00351FDA">
        <w:rPr>
          <w:rFonts w:ascii="Times New Roman" w:hAnsi="Times New Roman" w:cs="Times New Roman"/>
          <w:sz w:val="24"/>
          <w:szCs w:val="24"/>
          <w:lang w:val="en-GB"/>
        </w:rPr>
        <w:t xml:space="preserve"> decentralis</w:t>
      </w:r>
      <w:r w:rsidR="004575B3" w:rsidRPr="00D9330B">
        <w:rPr>
          <w:rFonts w:ascii="Times New Roman" w:hAnsi="Times New Roman" w:cs="Times New Roman"/>
          <w:sz w:val="24"/>
          <w:szCs w:val="24"/>
          <w:lang w:val="en-GB"/>
        </w:rPr>
        <w:t xml:space="preserve">ation of the initial drafting </w:t>
      </w:r>
      <w:r w:rsidR="00B16E89" w:rsidRPr="00D9330B">
        <w:rPr>
          <w:rFonts w:ascii="Times New Roman" w:hAnsi="Times New Roman" w:cs="Times New Roman"/>
          <w:sz w:val="24"/>
          <w:szCs w:val="24"/>
          <w:lang w:val="en-GB"/>
        </w:rPr>
        <w:t>process, which was entrusted to</w:t>
      </w:r>
      <w:r w:rsidR="00381845" w:rsidRPr="00D9330B">
        <w:rPr>
          <w:rFonts w:ascii="Times New Roman" w:hAnsi="Times New Roman" w:cs="Times New Roman"/>
          <w:sz w:val="24"/>
          <w:szCs w:val="24"/>
          <w:lang w:val="en-GB"/>
        </w:rPr>
        <w:t xml:space="preserve"> two dozen</w:t>
      </w:r>
      <w:r w:rsidR="004575B3" w:rsidRPr="00D9330B">
        <w:rPr>
          <w:rFonts w:ascii="Times New Roman" w:hAnsi="Times New Roman" w:cs="Times New Roman"/>
          <w:sz w:val="24"/>
          <w:szCs w:val="24"/>
          <w:lang w:val="en-GB"/>
        </w:rPr>
        <w:t xml:space="preserve"> committees</w:t>
      </w:r>
      <w:r w:rsidR="003E2648" w:rsidRPr="00D9330B">
        <w:rPr>
          <w:rFonts w:ascii="Times New Roman" w:hAnsi="Times New Roman" w:cs="Times New Roman"/>
          <w:sz w:val="24"/>
          <w:szCs w:val="24"/>
          <w:lang w:val="en-GB"/>
        </w:rPr>
        <w:t>, each of which tried</w:t>
      </w:r>
      <w:r w:rsidR="00B16E89" w:rsidRPr="00D9330B">
        <w:rPr>
          <w:rFonts w:ascii="Times New Roman" w:hAnsi="Times New Roman" w:cs="Times New Roman"/>
          <w:sz w:val="24"/>
          <w:szCs w:val="24"/>
          <w:lang w:val="en-GB"/>
        </w:rPr>
        <w:t xml:space="preserve"> to inco</w:t>
      </w:r>
      <w:r w:rsidR="00534D51" w:rsidRPr="00D9330B">
        <w:rPr>
          <w:rFonts w:ascii="Times New Roman" w:hAnsi="Times New Roman" w:cs="Times New Roman"/>
          <w:sz w:val="24"/>
          <w:szCs w:val="24"/>
          <w:lang w:val="en-GB"/>
        </w:rPr>
        <w:t>rporate</w:t>
      </w:r>
      <w:r w:rsidR="00B16E89" w:rsidRPr="00D9330B">
        <w:rPr>
          <w:rFonts w:ascii="Times New Roman" w:hAnsi="Times New Roman" w:cs="Times New Roman"/>
          <w:sz w:val="24"/>
          <w:szCs w:val="24"/>
          <w:lang w:val="en-GB"/>
        </w:rPr>
        <w:t xml:space="preserve"> proposals submitted by civil society</w:t>
      </w:r>
      <w:r w:rsidR="004575B3" w:rsidRPr="00D9330B">
        <w:rPr>
          <w:rFonts w:ascii="Times New Roman" w:hAnsi="Times New Roman" w:cs="Times New Roman"/>
          <w:sz w:val="24"/>
          <w:szCs w:val="24"/>
          <w:lang w:val="en-GB"/>
        </w:rPr>
        <w:t>. Decentr</w:t>
      </w:r>
      <w:r w:rsidR="00351FDA">
        <w:rPr>
          <w:rFonts w:ascii="Times New Roman" w:hAnsi="Times New Roman" w:cs="Times New Roman"/>
          <w:sz w:val="24"/>
          <w:szCs w:val="24"/>
          <w:lang w:val="en-GB"/>
        </w:rPr>
        <w:t>alis</w:t>
      </w:r>
      <w:r w:rsidR="004575B3" w:rsidRPr="00D9330B">
        <w:rPr>
          <w:rFonts w:ascii="Times New Roman" w:hAnsi="Times New Roman" w:cs="Times New Roman"/>
          <w:sz w:val="24"/>
          <w:szCs w:val="24"/>
          <w:lang w:val="en-GB"/>
        </w:rPr>
        <w:t>ation, in turn, reflected the fact that the cons</w:t>
      </w:r>
      <w:r w:rsidR="00B752CD" w:rsidRPr="00D9330B">
        <w:rPr>
          <w:rFonts w:ascii="Times New Roman" w:hAnsi="Times New Roman" w:cs="Times New Roman"/>
          <w:sz w:val="24"/>
          <w:szCs w:val="24"/>
          <w:lang w:val="en-GB"/>
        </w:rPr>
        <w:t>titution was written in the midst</w:t>
      </w:r>
      <w:r w:rsidR="004575B3" w:rsidRPr="00D9330B">
        <w:rPr>
          <w:rFonts w:ascii="Times New Roman" w:hAnsi="Times New Roman" w:cs="Times New Roman"/>
          <w:sz w:val="24"/>
          <w:szCs w:val="24"/>
          <w:lang w:val="en-GB"/>
        </w:rPr>
        <w:t xml:space="preserve"> of </w:t>
      </w:r>
      <w:r w:rsidR="00B24C66" w:rsidRPr="00D9330B">
        <w:rPr>
          <w:rFonts w:ascii="Times New Roman" w:hAnsi="Times New Roman" w:cs="Times New Roman"/>
          <w:sz w:val="24"/>
          <w:szCs w:val="24"/>
          <w:lang w:val="en-GB"/>
        </w:rPr>
        <w:t>a</w:t>
      </w:r>
      <w:r w:rsidR="00B16E89" w:rsidRPr="00D9330B">
        <w:rPr>
          <w:rFonts w:ascii="Times New Roman" w:hAnsi="Times New Roman" w:cs="Times New Roman"/>
          <w:sz w:val="24"/>
          <w:szCs w:val="24"/>
          <w:lang w:val="en-GB"/>
        </w:rPr>
        <w:t xml:space="preserve"> democratic transition, when</w:t>
      </w:r>
      <w:r w:rsidR="00351FDA">
        <w:rPr>
          <w:rFonts w:ascii="Times New Roman" w:hAnsi="Times New Roman" w:cs="Times New Roman"/>
          <w:sz w:val="24"/>
          <w:szCs w:val="24"/>
          <w:lang w:val="en-GB"/>
        </w:rPr>
        <w:t xml:space="preserve"> society was highly mobilis</w:t>
      </w:r>
      <w:r w:rsidR="004B07D9" w:rsidRPr="00D9330B">
        <w:rPr>
          <w:rFonts w:ascii="Times New Roman" w:hAnsi="Times New Roman" w:cs="Times New Roman"/>
          <w:sz w:val="24"/>
          <w:szCs w:val="24"/>
          <w:lang w:val="en-GB"/>
        </w:rPr>
        <w:t>ed and grievances from two decad</w:t>
      </w:r>
      <w:r w:rsidR="00531786" w:rsidRPr="00D9330B">
        <w:rPr>
          <w:rFonts w:ascii="Times New Roman" w:hAnsi="Times New Roman" w:cs="Times New Roman"/>
          <w:sz w:val="24"/>
          <w:szCs w:val="24"/>
          <w:lang w:val="en-GB"/>
        </w:rPr>
        <w:t>es of military</w:t>
      </w:r>
      <w:r w:rsidR="004B07D9" w:rsidRPr="00D9330B">
        <w:rPr>
          <w:rFonts w:ascii="Times New Roman" w:hAnsi="Times New Roman" w:cs="Times New Roman"/>
          <w:sz w:val="24"/>
          <w:szCs w:val="24"/>
          <w:lang w:val="en-GB"/>
        </w:rPr>
        <w:t xml:space="preserve"> rule were still fresh.</w:t>
      </w:r>
      <w:r w:rsidR="00E808E0" w:rsidRPr="00D9330B">
        <w:rPr>
          <w:rStyle w:val="FootnoteReference"/>
          <w:rFonts w:ascii="Times New Roman" w:hAnsi="Times New Roman" w:cs="Times New Roman"/>
          <w:sz w:val="24"/>
          <w:szCs w:val="24"/>
          <w:lang w:val="en-GB"/>
        </w:rPr>
        <w:footnoteReference w:id="54"/>
      </w:r>
    </w:p>
    <w:p w:rsidR="00207043" w:rsidRDefault="00F4377D" w:rsidP="0047494E">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Consistent with</w:t>
      </w:r>
      <w:r w:rsidR="00D93EDA" w:rsidRPr="00D9330B">
        <w:rPr>
          <w:rFonts w:ascii="Times New Roman" w:hAnsi="Times New Roman" w:cs="Times New Roman"/>
          <w:sz w:val="24"/>
          <w:szCs w:val="24"/>
          <w:lang w:val="en-GB"/>
        </w:rPr>
        <w:t xml:space="preserve"> this perspective is the fact that increased public sp</w:t>
      </w:r>
      <w:r w:rsidR="005A1922" w:rsidRPr="00D9330B">
        <w:rPr>
          <w:rFonts w:ascii="Times New Roman" w:hAnsi="Times New Roman" w:cs="Times New Roman"/>
          <w:sz w:val="24"/>
          <w:szCs w:val="24"/>
          <w:lang w:val="en-GB"/>
        </w:rPr>
        <w:t>ending in democratic Brazil</w:t>
      </w:r>
      <w:r w:rsidR="003D67E0" w:rsidRPr="00D9330B">
        <w:rPr>
          <w:rFonts w:ascii="Times New Roman" w:hAnsi="Times New Roman" w:cs="Times New Roman"/>
          <w:sz w:val="24"/>
          <w:szCs w:val="24"/>
          <w:lang w:val="en-GB"/>
        </w:rPr>
        <w:t xml:space="preserve"> has</w:t>
      </w:r>
      <w:r w:rsidR="00EB7C16" w:rsidRPr="00D9330B">
        <w:rPr>
          <w:rFonts w:ascii="Times New Roman" w:hAnsi="Times New Roman" w:cs="Times New Roman"/>
          <w:sz w:val="24"/>
          <w:szCs w:val="24"/>
          <w:lang w:val="en-GB"/>
        </w:rPr>
        <w:t xml:space="preserve"> been propelled mainly</w:t>
      </w:r>
      <w:r w:rsidR="005A1922" w:rsidRPr="00D9330B">
        <w:rPr>
          <w:rFonts w:ascii="Times New Roman" w:hAnsi="Times New Roman" w:cs="Times New Roman"/>
          <w:sz w:val="24"/>
          <w:szCs w:val="24"/>
          <w:lang w:val="en-GB"/>
        </w:rPr>
        <w:t xml:space="preserve"> by social outlays</w:t>
      </w:r>
      <w:r w:rsidR="00240A25" w:rsidRPr="00D9330B">
        <w:rPr>
          <w:rFonts w:ascii="Times New Roman" w:hAnsi="Times New Roman" w:cs="Times New Roman"/>
          <w:sz w:val="24"/>
          <w:szCs w:val="24"/>
          <w:lang w:val="en-GB"/>
        </w:rPr>
        <w:t>,</w:t>
      </w:r>
      <w:r w:rsidR="00965EC1" w:rsidRPr="00D9330B">
        <w:rPr>
          <w:rFonts w:ascii="Times New Roman" w:hAnsi="Times New Roman" w:cs="Times New Roman"/>
          <w:sz w:val="24"/>
          <w:szCs w:val="24"/>
          <w:lang w:val="en-GB"/>
        </w:rPr>
        <w:t xml:space="preserve"> especially pension</w:t>
      </w:r>
      <w:r w:rsidR="005A1922" w:rsidRPr="00D9330B">
        <w:rPr>
          <w:rFonts w:ascii="Times New Roman" w:hAnsi="Times New Roman" w:cs="Times New Roman"/>
          <w:sz w:val="24"/>
          <w:szCs w:val="24"/>
          <w:lang w:val="en-GB"/>
        </w:rPr>
        <w:t>s</w:t>
      </w:r>
      <w:r w:rsidR="00965EC1" w:rsidRPr="00D9330B">
        <w:rPr>
          <w:rFonts w:ascii="Times New Roman" w:hAnsi="Times New Roman" w:cs="Times New Roman"/>
          <w:sz w:val="24"/>
          <w:szCs w:val="24"/>
          <w:lang w:val="en-GB"/>
        </w:rPr>
        <w:t xml:space="preserve">. Between 1990 and 2010 social spending increased </w:t>
      </w:r>
      <w:r w:rsidRPr="00D9330B">
        <w:rPr>
          <w:rFonts w:ascii="Times New Roman" w:hAnsi="Times New Roman" w:cs="Times New Roman"/>
          <w:sz w:val="24"/>
          <w:szCs w:val="24"/>
          <w:lang w:val="en-GB"/>
        </w:rPr>
        <w:t>by almost</w:t>
      </w:r>
      <w:r w:rsidR="003B50F4">
        <w:rPr>
          <w:rFonts w:ascii="Times New Roman" w:hAnsi="Times New Roman" w:cs="Times New Roman"/>
          <w:sz w:val="24"/>
          <w:szCs w:val="24"/>
          <w:lang w:val="en-GB"/>
        </w:rPr>
        <w:t xml:space="preserve"> ten per</w:t>
      </w:r>
      <w:r w:rsidR="00763BEC">
        <w:rPr>
          <w:rFonts w:ascii="Times New Roman" w:hAnsi="Times New Roman" w:cs="Times New Roman"/>
          <w:sz w:val="24"/>
          <w:szCs w:val="24"/>
          <w:lang w:val="en-GB"/>
        </w:rPr>
        <w:t xml:space="preserve"> </w:t>
      </w:r>
      <w:r w:rsidR="003B50F4">
        <w:rPr>
          <w:rFonts w:ascii="Times New Roman" w:hAnsi="Times New Roman" w:cs="Times New Roman"/>
          <w:sz w:val="24"/>
          <w:szCs w:val="24"/>
          <w:lang w:val="en-GB"/>
        </w:rPr>
        <w:t>cent</w:t>
      </w:r>
      <w:r w:rsidR="00965EC1" w:rsidRPr="00D9330B">
        <w:rPr>
          <w:rFonts w:ascii="Times New Roman" w:hAnsi="Times New Roman" w:cs="Times New Roman"/>
          <w:sz w:val="24"/>
          <w:szCs w:val="24"/>
          <w:lang w:val="en-GB"/>
        </w:rPr>
        <w:t xml:space="preserve"> of GDP</w:t>
      </w:r>
      <w:r w:rsidR="001D7F9E" w:rsidRPr="00D9330B">
        <w:rPr>
          <w:rFonts w:ascii="Times New Roman" w:hAnsi="Times New Roman" w:cs="Times New Roman"/>
          <w:sz w:val="24"/>
          <w:szCs w:val="24"/>
          <w:lang w:val="en-GB"/>
        </w:rPr>
        <w:t>, an amount equivalent to the</w:t>
      </w:r>
      <w:r w:rsidR="00C628B7" w:rsidRPr="00D9330B">
        <w:rPr>
          <w:rFonts w:ascii="Times New Roman" w:hAnsi="Times New Roman" w:cs="Times New Roman"/>
          <w:sz w:val="24"/>
          <w:szCs w:val="24"/>
          <w:lang w:val="en-GB"/>
        </w:rPr>
        <w:t xml:space="preserve"> entire</w:t>
      </w:r>
      <w:r w:rsidR="001D7F9E" w:rsidRPr="00D9330B">
        <w:rPr>
          <w:rFonts w:ascii="Times New Roman" w:hAnsi="Times New Roman" w:cs="Times New Roman"/>
          <w:sz w:val="24"/>
          <w:szCs w:val="24"/>
          <w:lang w:val="en-GB"/>
        </w:rPr>
        <w:t xml:space="preserve"> increase i</w:t>
      </w:r>
      <w:r w:rsidR="00534D51" w:rsidRPr="00D9330B">
        <w:rPr>
          <w:rFonts w:ascii="Times New Roman" w:hAnsi="Times New Roman" w:cs="Times New Roman"/>
          <w:sz w:val="24"/>
          <w:szCs w:val="24"/>
          <w:lang w:val="en-GB"/>
        </w:rPr>
        <w:t>n the tax burden during that</w:t>
      </w:r>
      <w:r w:rsidR="001D7F9E" w:rsidRPr="00D9330B">
        <w:rPr>
          <w:rFonts w:ascii="Times New Roman" w:hAnsi="Times New Roman" w:cs="Times New Roman"/>
          <w:sz w:val="24"/>
          <w:szCs w:val="24"/>
          <w:lang w:val="en-GB"/>
        </w:rPr>
        <w:t xml:space="preserve"> period.</w:t>
      </w:r>
      <w:r w:rsidR="00EE53BE" w:rsidRPr="00D9330B">
        <w:rPr>
          <w:rStyle w:val="FootnoteReference"/>
          <w:rFonts w:ascii="Times New Roman" w:hAnsi="Times New Roman" w:cs="Times New Roman"/>
          <w:sz w:val="24"/>
          <w:szCs w:val="24"/>
          <w:lang w:val="en-GB"/>
        </w:rPr>
        <w:footnoteReference w:id="55"/>
      </w:r>
      <w:r w:rsidR="001D7F9E" w:rsidRPr="00D9330B">
        <w:rPr>
          <w:rFonts w:ascii="Times New Roman" w:hAnsi="Times New Roman" w:cs="Times New Roman"/>
          <w:sz w:val="24"/>
          <w:szCs w:val="24"/>
          <w:lang w:val="en-GB"/>
        </w:rPr>
        <w:t xml:space="preserve"> Easily the most important driver of that growth was the </w:t>
      </w:r>
      <w:r w:rsidR="001918C6" w:rsidRPr="00D9330B">
        <w:rPr>
          <w:rFonts w:ascii="Times New Roman" w:hAnsi="Times New Roman" w:cs="Times New Roman"/>
          <w:sz w:val="24"/>
          <w:szCs w:val="24"/>
          <w:lang w:val="en-GB"/>
        </w:rPr>
        <w:t xml:space="preserve">state </w:t>
      </w:r>
      <w:r w:rsidR="001D7F9E" w:rsidRPr="00D9330B">
        <w:rPr>
          <w:rFonts w:ascii="Times New Roman" w:hAnsi="Times New Roman" w:cs="Times New Roman"/>
          <w:sz w:val="24"/>
          <w:szCs w:val="24"/>
          <w:lang w:val="en-GB"/>
        </w:rPr>
        <w:t>pension system for private sector workers. The benefits paid out b</w:t>
      </w:r>
      <w:r w:rsidR="00BE5478" w:rsidRPr="00D9330B">
        <w:rPr>
          <w:rFonts w:ascii="Times New Roman" w:hAnsi="Times New Roman" w:cs="Times New Roman"/>
          <w:sz w:val="24"/>
          <w:szCs w:val="24"/>
          <w:lang w:val="en-GB"/>
        </w:rPr>
        <w:t>y this system increased from 2</w:t>
      </w:r>
      <w:r w:rsidR="00412DF4" w:rsidRPr="00D9330B">
        <w:rPr>
          <w:rFonts w:ascii="Times New Roman" w:hAnsi="Times New Roman" w:cs="Times New Roman"/>
          <w:sz w:val="24"/>
          <w:szCs w:val="24"/>
          <w:lang w:val="en-GB"/>
        </w:rPr>
        <w:t>.</w:t>
      </w:r>
      <w:r w:rsidR="00BE5478" w:rsidRPr="00D9330B">
        <w:rPr>
          <w:rFonts w:ascii="Times New Roman" w:hAnsi="Times New Roman" w:cs="Times New Roman"/>
          <w:sz w:val="24"/>
          <w:szCs w:val="24"/>
          <w:lang w:val="en-GB"/>
        </w:rPr>
        <w:t>5</w:t>
      </w:r>
      <w:r w:rsidR="001D7F9E" w:rsidRPr="00D9330B">
        <w:rPr>
          <w:rFonts w:ascii="Times New Roman" w:hAnsi="Times New Roman" w:cs="Times New Roman"/>
          <w:sz w:val="24"/>
          <w:szCs w:val="24"/>
          <w:lang w:val="en-GB"/>
        </w:rPr>
        <w:t xml:space="preserve"> per</w:t>
      </w:r>
      <w:r w:rsidR="001D4EBA">
        <w:rPr>
          <w:rFonts w:ascii="Times New Roman" w:hAnsi="Times New Roman" w:cs="Times New Roman"/>
          <w:sz w:val="24"/>
          <w:szCs w:val="24"/>
          <w:lang w:val="en-GB"/>
        </w:rPr>
        <w:t xml:space="preserve"> </w:t>
      </w:r>
      <w:r w:rsidR="001D7F9E" w:rsidRPr="00D9330B">
        <w:rPr>
          <w:rFonts w:ascii="Times New Roman" w:hAnsi="Times New Roman" w:cs="Times New Roman"/>
          <w:sz w:val="24"/>
          <w:szCs w:val="24"/>
          <w:lang w:val="en-GB"/>
        </w:rPr>
        <w:t>cent</w:t>
      </w:r>
      <w:r w:rsidR="003B50F4">
        <w:rPr>
          <w:rFonts w:ascii="Times New Roman" w:hAnsi="Times New Roman" w:cs="Times New Roman"/>
          <w:sz w:val="24"/>
          <w:szCs w:val="24"/>
          <w:lang w:val="en-GB"/>
        </w:rPr>
        <w:t xml:space="preserve"> of GDP in 1988 to more than seven</w:t>
      </w:r>
      <w:r w:rsidR="001D7F9E" w:rsidRPr="00D9330B">
        <w:rPr>
          <w:rFonts w:ascii="Times New Roman" w:hAnsi="Times New Roman" w:cs="Times New Roman"/>
          <w:sz w:val="24"/>
          <w:szCs w:val="24"/>
          <w:lang w:val="en-GB"/>
        </w:rPr>
        <w:t xml:space="preserve"> per</w:t>
      </w:r>
      <w:r w:rsidR="001D4EBA">
        <w:rPr>
          <w:rFonts w:ascii="Times New Roman" w:hAnsi="Times New Roman" w:cs="Times New Roman"/>
          <w:sz w:val="24"/>
          <w:szCs w:val="24"/>
          <w:lang w:val="en-GB"/>
        </w:rPr>
        <w:t xml:space="preserve"> </w:t>
      </w:r>
      <w:r w:rsidR="001D7F9E" w:rsidRPr="00D9330B">
        <w:rPr>
          <w:rFonts w:ascii="Times New Roman" w:hAnsi="Times New Roman" w:cs="Times New Roman"/>
          <w:sz w:val="24"/>
          <w:szCs w:val="24"/>
          <w:lang w:val="en-GB"/>
        </w:rPr>
        <w:t>cent</w:t>
      </w:r>
      <w:r w:rsidR="00240A25" w:rsidRPr="00D9330B">
        <w:rPr>
          <w:rFonts w:ascii="Times New Roman" w:hAnsi="Times New Roman" w:cs="Times New Roman"/>
          <w:sz w:val="24"/>
          <w:szCs w:val="24"/>
          <w:lang w:val="en-GB"/>
        </w:rPr>
        <w:t xml:space="preserve"> in 2007</w:t>
      </w:r>
      <w:r w:rsidR="001D7F9E" w:rsidRPr="00D9330B">
        <w:rPr>
          <w:rFonts w:ascii="Times New Roman" w:hAnsi="Times New Roman" w:cs="Times New Roman"/>
          <w:sz w:val="24"/>
          <w:szCs w:val="24"/>
          <w:lang w:val="en-GB"/>
        </w:rPr>
        <w:t>.</w:t>
      </w:r>
      <w:r w:rsidR="00020083" w:rsidRPr="00D9330B">
        <w:rPr>
          <w:rStyle w:val="FootnoteReference"/>
          <w:rFonts w:ascii="Times New Roman" w:hAnsi="Times New Roman" w:cs="Times New Roman"/>
          <w:sz w:val="24"/>
          <w:szCs w:val="24"/>
          <w:lang w:val="en-GB"/>
        </w:rPr>
        <w:footnoteReference w:id="56"/>
      </w:r>
      <w:r w:rsidR="00546D6D" w:rsidRPr="00D9330B">
        <w:rPr>
          <w:rFonts w:ascii="Times New Roman" w:hAnsi="Times New Roman" w:cs="Times New Roman"/>
          <w:sz w:val="24"/>
          <w:szCs w:val="24"/>
          <w:lang w:val="en-GB"/>
        </w:rPr>
        <w:t xml:space="preserve"> </w:t>
      </w:r>
      <w:r w:rsidR="00207043">
        <w:rPr>
          <w:rFonts w:ascii="Times New Roman" w:hAnsi="Times New Roman" w:cs="Times New Roman"/>
          <w:sz w:val="24"/>
          <w:szCs w:val="24"/>
          <w:lang w:val="en-GB"/>
        </w:rPr>
        <w:t xml:space="preserve">Although it eventually levelled off, spending on pensions for federal workers also increased rapidly during </w:t>
      </w:r>
      <w:r w:rsidR="00207043">
        <w:rPr>
          <w:rFonts w:ascii="Times New Roman" w:hAnsi="Times New Roman" w:cs="Times New Roman"/>
          <w:sz w:val="24"/>
          <w:szCs w:val="24"/>
          <w:lang w:val="en-GB"/>
        </w:rPr>
        <w:lastRenderedPageBreak/>
        <w:t xml:space="preserve">the first decade after the ratification of the new constitution. </w:t>
      </w:r>
      <w:r w:rsidR="00546D6D" w:rsidRPr="00D9330B">
        <w:rPr>
          <w:rFonts w:ascii="Times New Roman" w:hAnsi="Times New Roman" w:cs="Times New Roman"/>
          <w:sz w:val="24"/>
          <w:szCs w:val="24"/>
          <w:lang w:val="en-GB"/>
        </w:rPr>
        <w:t>Overall s</w:t>
      </w:r>
      <w:r w:rsidR="00240A25" w:rsidRPr="00D9330B">
        <w:rPr>
          <w:rFonts w:ascii="Times New Roman" w:hAnsi="Times New Roman" w:cs="Times New Roman"/>
          <w:sz w:val="24"/>
          <w:szCs w:val="24"/>
          <w:lang w:val="en-GB"/>
        </w:rPr>
        <w:t>pending o</w:t>
      </w:r>
      <w:r w:rsidR="00546D6D" w:rsidRPr="00D9330B">
        <w:rPr>
          <w:rFonts w:ascii="Times New Roman" w:hAnsi="Times New Roman" w:cs="Times New Roman"/>
          <w:sz w:val="24"/>
          <w:szCs w:val="24"/>
          <w:lang w:val="en-GB"/>
        </w:rPr>
        <w:t>n</w:t>
      </w:r>
      <w:r w:rsidR="00240A25" w:rsidRPr="00D9330B">
        <w:rPr>
          <w:rFonts w:ascii="Times New Roman" w:hAnsi="Times New Roman" w:cs="Times New Roman"/>
          <w:sz w:val="24"/>
          <w:szCs w:val="24"/>
          <w:lang w:val="en-GB"/>
        </w:rPr>
        <w:t xml:space="preserve"> public pe</w:t>
      </w:r>
      <w:r w:rsidR="00245376" w:rsidRPr="00D9330B">
        <w:rPr>
          <w:rFonts w:ascii="Times New Roman" w:hAnsi="Times New Roman" w:cs="Times New Roman"/>
          <w:sz w:val="24"/>
          <w:szCs w:val="24"/>
          <w:lang w:val="en-GB"/>
        </w:rPr>
        <w:t>nsion</w:t>
      </w:r>
      <w:r w:rsidR="00546D6D" w:rsidRPr="00D9330B">
        <w:rPr>
          <w:rFonts w:ascii="Times New Roman" w:hAnsi="Times New Roman" w:cs="Times New Roman"/>
          <w:sz w:val="24"/>
          <w:szCs w:val="24"/>
          <w:lang w:val="en-GB"/>
        </w:rPr>
        <w:t xml:space="preserve"> program</w:t>
      </w:r>
      <w:r w:rsidR="00B15B02">
        <w:rPr>
          <w:rFonts w:ascii="Times New Roman" w:hAnsi="Times New Roman" w:cs="Times New Roman"/>
          <w:sz w:val="24"/>
          <w:szCs w:val="24"/>
          <w:lang w:val="en-GB"/>
        </w:rPr>
        <w:t>me</w:t>
      </w:r>
      <w:r w:rsidR="00546D6D" w:rsidRPr="00D9330B">
        <w:rPr>
          <w:rFonts w:ascii="Times New Roman" w:hAnsi="Times New Roman" w:cs="Times New Roman"/>
          <w:sz w:val="24"/>
          <w:szCs w:val="24"/>
          <w:lang w:val="en-GB"/>
        </w:rPr>
        <w:t>s</w:t>
      </w:r>
      <w:r w:rsidR="00245376" w:rsidRPr="00D9330B">
        <w:rPr>
          <w:rFonts w:ascii="Times New Roman" w:hAnsi="Times New Roman" w:cs="Times New Roman"/>
          <w:sz w:val="24"/>
          <w:szCs w:val="24"/>
          <w:lang w:val="en-GB"/>
        </w:rPr>
        <w:t xml:space="preserve"> is currently </w:t>
      </w:r>
      <w:r w:rsidR="00546D6D" w:rsidRPr="00D9330B">
        <w:rPr>
          <w:rFonts w:ascii="Times New Roman" w:hAnsi="Times New Roman" w:cs="Times New Roman"/>
          <w:sz w:val="24"/>
          <w:szCs w:val="24"/>
          <w:lang w:val="en-GB"/>
        </w:rPr>
        <w:t>11</w:t>
      </w:r>
      <w:r w:rsidR="004E36A0">
        <w:rPr>
          <w:rFonts w:ascii="Times New Roman" w:hAnsi="Times New Roman" w:cs="Times New Roman"/>
          <w:sz w:val="24"/>
          <w:szCs w:val="24"/>
          <w:lang w:val="en-GB"/>
        </w:rPr>
        <w:t>-12</w:t>
      </w:r>
      <w:r w:rsidR="00240A25" w:rsidRPr="00D9330B">
        <w:rPr>
          <w:rFonts w:ascii="Times New Roman" w:hAnsi="Times New Roman" w:cs="Times New Roman"/>
          <w:sz w:val="24"/>
          <w:szCs w:val="24"/>
          <w:lang w:val="en-GB"/>
        </w:rPr>
        <w:t xml:space="preserve"> per</w:t>
      </w:r>
      <w:r w:rsidR="001D4EBA">
        <w:rPr>
          <w:rFonts w:ascii="Times New Roman" w:hAnsi="Times New Roman" w:cs="Times New Roman"/>
          <w:sz w:val="24"/>
          <w:szCs w:val="24"/>
          <w:lang w:val="en-GB"/>
        </w:rPr>
        <w:t xml:space="preserve"> </w:t>
      </w:r>
      <w:r w:rsidR="00240A25" w:rsidRPr="00D9330B">
        <w:rPr>
          <w:rFonts w:ascii="Times New Roman" w:hAnsi="Times New Roman" w:cs="Times New Roman"/>
          <w:sz w:val="24"/>
          <w:szCs w:val="24"/>
          <w:lang w:val="en-GB"/>
        </w:rPr>
        <w:t>cent of GDP.</w:t>
      </w:r>
      <w:r w:rsidR="001D4EBA">
        <w:rPr>
          <w:rFonts w:ascii="Times New Roman" w:hAnsi="Times New Roman" w:cs="Times New Roman"/>
          <w:sz w:val="24"/>
          <w:szCs w:val="24"/>
          <w:lang w:val="en-GB"/>
        </w:rPr>
        <w:t xml:space="preserve"> </w:t>
      </w:r>
    </w:p>
    <w:p w:rsidR="006874AD" w:rsidRPr="00D9330B" w:rsidRDefault="006874AD" w:rsidP="006874AD">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r>
      <w:r w:rsidR="00CA4525" w:rsidRPr="00D9330B">
        <w:rPr>
          <w:rFonts w:ascii="Times New Roman" w:hAnsi="Times New Roman" w:cs="Times New Roman"/>
          <w:sz w:val="24"/>
          <w:szCs w:val="24"/>
          <w:lang w:val="en-GB"/>
        </w:rPr>
        <w:t>Nevertheless</w:t>
      </w:r>
      <w:r w:rsidR="00F6782F" w:rsidRPr="00D9330B">
        <w:rPr>
          <w:rFonts w:ascii="Times New Roman" w:hAnsi="Times New Roman" w:cs="Times New Roman"/>
          <w:sz w:val="24"/>
          <w:szCs w:val="24"/>
          <w:lang w:val="en-GB"/>
        </w:rPr>
        <w:t>,</w:t>
      </w:r>
      <w:r w:rsidR="001013DF" w:rsidRPr="00D9330B">
        <w:rPr>
          <w:rFonts w:ascii="Times New Roman" w:hAnsi="Times New Roman" w:cs="Times New Roman"/>
          <w:sz w:val="24"/>
          <w:szCs w:val="24"/>
          <w:lang w:val="en-GB"/>
        </w:rPr>
        <w:t xml:space="preserve"> this account</w:t>
      </w:r>
      <w:r w:rsidR="007D60F3" w:rsidRPr="00D9330B">
        <w:rPr>
          <w:rFonts w:ascii="Times New Roman" w:hAnsi="Times New Roman" w:cs="Times New Roman"/>
          <w:sz w:val="24"/>
          <w:szCs w:val="24"/>
          <w:lang w:val="en-GB"/>
        </w:rPr>
        <w:t xml:space="preserve"> begs two</w:t>
      </w:r>
      <w:r w:rsidR="007C6D93" w:rsidRPr="00D9330B">
        <w:rPr>
          <w:rFonts w:ascii="Times New Roman" w:hAnsi="Times New Roman" w:cs="Times New Roman"/>
          <w:sz w:val="24"/>
          <w:szCs w:val="24"/>
          <w:lang w:val="en-GB"/>
        </w:rPr>
        <w:t xml:space="preserve"> crucial questions.</w:t>
      </w:r>
      <w:r w:rsidR="00BE0328" w:rsidRPr="00D9330B">
        <w:rPr>
          <w:rFonts w:ascii="Times New Roman" w:hAnsi="Times New Roman" w:cs="Times New Roman"/>
          <w:sz w:val="24"/>
          <w:szCs w:val="24"/>
          <w:lang w:val="en-GB"/>
        </w:rPr>
        <w:t xml:space="preserve"> First, why was </w:t>
      </w:r>
      <w:r w:rsidR="001013DF" w:rsidRPr="00D9330B">
        <w:rPr>
          <w:rFonts w:ascii="Times New Roman" w:hAnsi="Times New Roman" w:cs="Times New Roman"/>
          <w:sz w:val="24"/>
          <w:szCs w:val="24"/>
          <w:lang w:val="en-GB"/>
        </w:rPr>
        <w:t>Brazil’</w:t>
      </w:r>
      <w:r w:rsidRPr="00D9330B">
        <w:rPr>
          <w:rFonts w:ascii="Times New Roman" w:hAnsi="Times New Roman" w:cs="Times New Roman"/>
          <w:sz w:val="24"/>
          <w:szCs w:val="24"/>
          <w:lang w:val="en-GB"/>
        </w:rPr>
        <w:t xml:space="preserve">s </w:t>
      </w:r>
      <w:r w:rsidR="00DC669F" w:rsidRPr="00D9330B">
        <w:rPr>
          <w:rFonts w:ascii="Times New Roman" w:hAnsi="Times New Roman" w:cs="Times New Roman"/>
          <w:sz w:val="24"/>
          <w:szCs w:val="24"/>
          <w:lang w:val="en-GB"/>
        </w:rPr>
        <w:t>tax burden</w:t>
      </w:r>
      <w:r w:rsidR="001013DF" w:rsidRPr="00D9330B">
        <w:rPr>
          <w:rFonts w:ascii="Times New Roman" w:hAnsi="Times New Roman" w:cs="Times New Roman"/>
          <w:sz w:val="24"/>
          <w:szCs w:val="24"/>
          <w:lang w:val="en-GB"/>
        </w:rPr>
        <w:t xml:space="preserve"> the highest </w:t>
      </w:r>
      <w:r w:rsidR="002F0EE1" w:rsidRPr="00D9330B">
        <w:rPr>
          <w:rFonts w:ascii="Times New Roman" w:hAnsi="Times New Roman" w:cs="Times New Roman"/>
          <w:sz w:val="24"/>
          <w:szCs w:val="24"/>
          <w:lang w:val="en-GB"/>
        </w:rPr>
        <w:t>in Latin America even before 1988</w:t>
      </w:r>
      <w:r w:rsidR="001013DF"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This</w:t>
      </w:r>
      <w:r w:rsidR="00EB7C16" w:rsidRPr="00D9330B">
        <w:rPr>
          <w:rFonts w:ascii="Times New Roman" w:hAnsi="Times New Roman" w:cs="Times New Roman"/>
          <w:sz w:val="24"/>
          <w:szCs w:val="24"/>
          <w:lang w:val="en-GB"/>
        </w:rPr>
        <w:t xml:space="preserve"> issue</w:t>
      </w:r>
      <w:r w:rsidRPr="00D9330B">
        <w:rPr>
          <w:rFonts w:ascii="Times New Roman" w:hAnsi="Times New Roman" w:cs="Times New Roman"/>
          <w:sz w:val="24"/>
          <w:szCs w:val="24"/>
          <w:lang w:val="en-GB"/>
        </w:rPr>
        <w:t xml:space="preserve"> is important because, had</w:t>
      </w:r>
      <w:r w:rsidR="00E17570" w:rsidRPr="00D9330B">
        <w:rPr>
          <w:rFonts w:ascii="Times New Roman" w:hAnsi="Times New Roman" w:cs="Times New Roman"/>
          <w:sz w:val="24"/>
          <w:szCs w:val="24"/>
          <w:lang w:val="en-GB"/>
        </w:rPr>
        <w:t xml:space="preserve"> the post-constitution</w:t>
      </w:r>
      <w:r w:rsidRPr="00D9330B">
        <w:rPr>
          <w:rFonts w:ascii="Times New Roman" w:hAnsi="Times New Roman" w:cs="Times New Roman"/>
          <w:sz w:val="24"/>
          <w:szCs w:val="24"/>
          <w:lang w:val="en-GB"/>
        </w:rPr>
        <w:t xml:space="preserve"> tax increase</w:t>
      </w:r>
      <w:r w:rsidR="001013DF" w:rsidRPr="00D9330B">
        <w:rPr>
          <w:rFonts w:ascii="Times New Roman" w:hAnsi="Times New Roman" w:cs="Times New Roman"/>
          <w:sz w:val="24"/>
          <w:szCs w:val="24"/>
          <w:lang w:val="en-GB"/>
        </w:rPr>
        <w:t xml:space="preserve"> departed from </w:t>
      </w:r>
      <w:r w:rsidR="00EB7C16" w:rsidRPr="00D9330B">
        <w:rPr>
          <w:rFonts w:ascii="Times New Roman" w:hAnsi="Times New Roman" w:cs="Times New Roman"/>
          <w:sz w:val="24"/>
          <w:szCs w:val="24"/>
          <w:lang w:val="en-GB"/>
        </w:rPr>
        <w:t>a</w:t>
      </w:r>
      <w:r w:rsidR="00D3109F" w:rsidRPr="00D9330B">
        <w:rPr>
          <w:rFonts w:ascii="Times New Roman" w:hAnsi="Times New Roman" w:cs="Times New Roman"/>
          <w:sz w:val="24"/>
          <w:szCs w:val="24"/>
          <w:lang w:val="en-GB"/>
        </w:rPr>
        <w:t xml:space="preserve"> level close to</w:t>
      </w:r>
      <w:r w:rsidR="001013DF" w:rsidRPr="00D9330B">
        <w:rPr>
          <w:rFonts w:ascii="Times New Roman" w:hAnsi="Times New Roman" w:cs="Times New Roman"/>
          <w:sz w:val="24"/>
          <w:szCs w:val="24"/>
          <w:lang w:val="en-GB"/>
        </w:rPr>
        <w:t xml:space="preserve"> </w:t>
      </w:r>
      <w:r w:rsidR="00D3109F" w:rsidRPr="00D9330B">
        <w:rPr>
          <w:rFonts w:ascii="Times New Roman" w:hAnsi="Times New Roman" w:cs="Times New Roman"/>
          <w:sz w:val="24"/>
          <w:szCs w:val="24"/>
          <w:lang w:val="en-GB"/>
        </w:rPr>
        <w:t>the regional average</w:t>
      </w:r>
      <w:r w:rsidR="001013DF" w:rsidRPr="00D9330B">
        <w:rPr>
          <w:rFonts w:ascii="Times New Roman" w:hAnsi="Times New Roman" w:cs="Times New Roman"/>
          <w:sz w:val="24"/>
          <w:szCs w:val="24"/>
          <w:lang w:val="en-GB"/>
        </w:rPr>
        <w:t>, the</w:t>
      </w:r>
      <w:r w:rsidR="00763829" w:rsidRPr="00D9330B">
        <w:rPr>
          <w:rFonts w:ascii="Times New Roman" w:hAnsi="Times New Roman" w:cs="Times New Roman"/>
          <w:sz w:val="24"/>
          <w:szCs w:val="24"/>
          <w:lang w:val="en-GB"/>
        </w:rPr>
        <w:t xml:space="preserve"> current burden would be far</w:t>
      </w:r>
      <w:r w:rsidR="001013DF" w:rsidRPr="00D9330B">
        <w:rPr>
          <w:rFonts w:ascii="Times New Roman" w:hAnsi="Times New Roman" w:cs="Times New Roman"/>
          <w:sz w:val="24"/>
          <w:szCs w:val="24"/>
          <w:lang w:val="en-GB"/>
        </w:rPr>
        <w:t xml:space="preserve"> lower than it actually is.</w:t>
      </w:r>
      <w:r w:rsidRPr="00D9330B">
        <w:rPr>
          <w:rFonts w:ascii="Times New Roman" w:hAnsi="Times New Roman" w:cs="Times New Roman"/>
          <w:sz w:val="24"/>
          <w:szCs w:val="24"/>
          <w:lang w:val="en-GB"/>
        </w:rPr>
        <w:t xml:space="preserve"> </w:t>
      </w:r>
      <w:r w:rsidR="00F6782F" w:rsidRPr="00D9330B">
        <w:rPr>
          <w:rFonts w:ascii="Times New Roman" w:hAnsi="Times New Roman" w:cs="Times New Roman"/>
          <w:sz w:val="24"/>
          <w:szCs w:val="24"/>
          <w:lang w:val="en-GB"/>
        </w:rPr>
        <w:t>Clearly, the</w:t>
      </w:r>
      <w:r w:rsidR="00884B63" w:rsidRPr="00D9330B">
        <w:rPr>
          <w:rFonts w:ascii="Times New Roman" w:hAnsi="Times New Roman" w:cs="Times New Roman"/>
          <w:sz w:val="24"/>
          <w:szCs w:val="24"/>
          <w:lang w:val="en-GB"/>
        </w:rPr>
        <w:t xml:space="preserve"> tax reform</w:t>
      </w:r>
      <w:r w:rsidR="00B752CD" w:rsidRPr="00D9330B">
        <w:rPr>
          <w:rFonts w:ascii="Times New Roman" w:hAnsi="Times New Roman" w:cs="Times New Roman"/>
          <w:sz w:val="24"/>
          <w:szCs w:val="24"/>
          <w:lang w:val="en-GB"/>
        </w:rPr>
        <w:t xml:space="preserve"> undertak</w:t>
      </w:r>
      <w:r w:rsidR="008F4B7A" w:rsidRPr="00D9330B">
        <w:rPr>
          <w:rFonts w:ascii="Times New Roman" w:hAnsi="Times New Roman" w:cs="Times New Roman"/>
          <w:sz w:val="24"/>
          <w:szCs w:val="24"/>
          <w:lang w:val="en-GB"/>
        </w:rPr>
        <w:t xml:space="preserve">en </w:t>
      </w:r>
      <w:r w:rsidR="00EB7C16" w:rsidRPr="00D9330B">
        <w:rPr>
          <w:rFonts w:ascii="Times New Roman" w:hAnsi="Times New Roman" w:cs="Times New Roman"/>
          <w:sz w:val="24"/>
          <w:szCs w:val="24"/>
          <w:lang w:val="en-GB"/>
        </w:rPr>
        <w:t>in 1966 under military rule</w:t>
      </w:r>
      <w:r w:rsidR="00884B63" w:rsidRPr="00D9330B">
        <w:rPr>
          <w:rFonts w:ascii="Times New Roman" w:hAnsi="Times New Roman" w:cs="Times New Roman"/>
          <w:sz w:val="24"/>
          <w:szCs w:val="24"/>
          <w:lang w:val="en-GB"/>
        </w:rPr>
        <w:t xml:space="preserve">, which contributed to a major increase in </w:t>
      </w:r>
      <w:r w:rsidR="00F6782F" w:rsidRPr="00D9330B">
        <w:rPr>
          <w:rFonts w:ascii="Times New Roman" w:hAnsi="Times New Roman" w:cs="Times New Roman"/>
          <w:sz w:val="24"/>
          <w:szCs w:val="24"/>
          <w:lang w:val="en-GB"/>
        </w:rPr>
        <w:t>revenues</w:t>
      </w:r>
      <w:r w:rsidR="00884B63" w:rsidRPr="00D9330B">
        <w:rPr>
          <w:rFonts w:ascii="Times New Roman" w:hAnsi="Times New Roman" w:cs="Times New Roman"/>
          <w:sz w:val="24"/>
          <w:szCs w:val="24"/>
          <w:lang w:val="en-GB"/>
        </w:rPr>
        <w:t xml:space="preserve">, </w:t>
      </w:r>
      <w:r w:rsidR="00567632" w:rsidRPr="00D9330B">
        <w:rPr>
          <w:rFonts w:ascii="Times New Roman" w:hAnsi="Times New Roman" w:cs="Times New Roman"/>
          <w:sz w:val="24"/>
          <w:szCs w:val="24"/>
          <w:lang w:val="en-GB"/>
        </w:rPr>
        <w:t>played a</w:t>
      </w:r>
      <w:r w:rsidR="002F0EE1" w:rsidRPr="00D9330B">
        <w:rPr>
          <w:rFonts w:ascii="Times New Roman" w:hAnsi="Times New Roman" w:cs="Times New Roman"/>
          <w:sz w:val="24"/>
          <w:szCs w:val="24"/>
          <w:lang w:val="en-GB"/>
        </w:rPr>
        <w:t xml:space="preserve"> role</w:t>
      </w:r>
      <w:r w:rsidR="00EE1AD1" w:rsidRPr="00D9330B">
        <w:rPr>
          <w:rFonts w:ascii="Times New Roman" w:hAnsi="Times New Roman" w:cs="Times New Roman"/>
          <w:sz w:val="24"/>
          <w:szCs w:val="24"/>
          <w:lang w:val="en-GB"/>
        </w:rPr>
        <w:t>. A</w:t>
      </w:r>
      <w:r w:rsidR="00534D51" w:rsidRPr="00D9330B">
        <w:rPr>
          <w:rFonts w:ascii="Times New Roman" w:hAnsi="Times New Roman" w:cs="Times New Roman"/>
          <w:sz w:val="24"/>
          <w:szCs w:val="24"/>
          <w:lang w:val="en-GB"/>
        </w:rPr>
        <w:t>nalyses of</w:t>
      </w:r>
      <w:r w:rsidR="00EB7C16" w:rsidRPr="00D9330B">
        <w:rPr>
          <w:rFonts w:ascii="Times New Roman" w:hAnsi="Times New Roman" w:cs="Times New Roman"/>
          <w:sz w:val="24"/>
          <w:szCs w:val="24"/>
          <w:lang w:val="en-GB"/>
        </w:rPr>
        <w:t xml:space="preserve"> that</w:t>
      </w:r>
      <w:r w:rsidR="002F0EE1" w:rsidRPr="00D9330B">
        <w:rPr>
          <w:rFonts w:ascii="Times New Roman" w:hAnsi="Times New Roman" w:cs="Times New Roman"/>
          <w:sz w:val="24"/>
          <w:szCs w:val="24"/>
          <w:lang w:val="en-GB"/>
        </w:rPr>
        <w:t xml:space="preserve"> reform sugges</w:t>
      </w:r>
      <w:r w:rsidR="00534D51" w:rsidRPr="00D9330B">
        <w:rPr>
          <w:rFonts w:ascii="Times New Roman" w:hAnsi="Times New Roman" w:cs="Times New Roman"/>
          <w:sz w:val="24"/>
          <w:szCs w:val="24"/>
          <w:lang w:val="en-GB"/>
        </w:rPr>
        <w:t>t that it reflected</w:t>
      </w:r>
      <w:r w:rsidR="00F6782F" w:rsidRPr="00D9330B">
        <w:rPr>
          <w:rFonts w:ascii="Times New Roman" w:hAnsi="Times New Roman" w:cs="Times New Roman"/>
          <w:sz w:val="24"/>
          <w:szCs w:val="24"/>
          <w:lang w:val="en-GB"/>
        </w:rPr>
        <w:t xml:space="preserve"> a</w:t>
      </w:r>
      <w:r w:rsidR="00942BFE" w:rsidRPr="00D9330B">
        <w:rPr>
          <w:rFonts w:ascii="Times New Roman" w:hAnsi="Times New Roman" w:cs="Times New Roman"/>
          <w:sz w:val="24"/>
          <w:szCs w:val="24"/>
          <w:lang w:val="en-GB"/>
        </w:rPr>
        <w:t xml:space="preserve"> determination to overcome a</w:t>
      </w:r>
      <w:r w:rsidRPr="00D9330B">
        <w:rPr>
          <w:rFonts w:ascii="Times New Roman" w:hAnsi="Times New Roman" w:cs="Times New Roman"/>
          <w:sz w:val="24"/>
          <w:szCs w:val="24"/>
          <w:lang w:val="en-GB"/>
        </w:rPr>
        <w:t xml:space="preserve"> </w:t>
      </w:r>
      <w:r w:rsidR="00942BFE" w:rsidRPr="00D9330B">
        <w:rPr>
          <w:rFonts w:ascii="Times New Roman" w:hAnsi="Times New Roman" w:cs="Times New Roman"/>
          <w:sz w:val="24"/>
          <w:szCs w:val="24"/>
          <w:lang w:val="en-GB"/>
        </w:rPr>
        <w:t>fiscal crisis</w:t>
      </w:r>
      <w:r w:rsidRPr="00D9330B">
        <w:rPr>
          <w:rFonts w:ascii="Times New Roman" w:hAnsi="Times New Roman" w:cs="Times New Roman"/>
          <w:sz w:val="24"/>
          <w:szCs w:val="24"/>
          <w:lang w:val="en-GB"/>
        </w:rPr>
        <w:t xml:space="preserve"> and to use state</w:t>
      </w:r>
      <w:r w:rsidR="00F6782F" w:rsidRPr="00D9330B">
        <w:rPr>
          <w:rFonts w:ascii="Times New Roman" w:hAnsi="Times New Roman" w:cs="Times New Roman"/>
          <w:sz w:val="24"/>
          <w:szCs w:val="24"/>
          <w:lang w:val="en-GB"/>
        </w:rPr>
        <w:t xml:space="preserve"> intervention to accelerate growth</w:t>
      </w:r>
      <w:r w:rsidR="00E02A09" w:rsidRPr="00D9330B">
        <w:rPr>
          <w:rFonts w:ascii="Times New Roman" w:hAnsi="Times New Roman" w:cs="Times New Roman"/>
          <w:sz w:val="24"/>
          <w:szCs w:val="24"/>
          <w:lang w:val="en-GB"/>
        </w:rPr>
        <w:t>; social considerations were secondary</w:t>
      </w:r>
      <w:r w:rsidR="00DA7422" w:rsidRPr="00D9330B">
        <w:rPr>
          <w:rFonts w:ascii="Times New Roman" w:hAnsi="Times New Roman" w:cs="Times New Roman"/>
          <w:sz w:val="24"/>
          <w:szCs w:val="24"/>
          <w:lang w:val="en-GB"/>
        </w:rPr>
        <w:t>.</w:t>
      </w:r>
      <w:r w:rsidRPr="00D9330B">
        <w:rPr>
          <w:rStyle w:val="FootnoteReference"/>
          <w:rFonts w:ascii="Times New Roman" w:hAnsi="Times New Roman" w:cs="Times New Roman"/>
          <w:sz w:val="24"/>
          <w:szCs w:val="24"/>
          <w:lang w:val="en-GB"/>
        </w:rPr>
        <w:footnoteReference w:id="57"/>
      </w:r>
      <w:r w:rsidR="00B16E89" w:rsidRPr="00D9330B">
        <w:rPr>
          <w:rFonts w:ascii="Times New Roman" w:hAnsi="Times New Roman" w:cs="Times New Roman"/>
          <w:sz w:val="24"/>
          <w:szCs w:val="24"/>
          <w:lang w:val="en-GB"/>
        </w:rPr>
        <w:t xml:space="preserve"> This</w:t>
      </w:r>
      <w:r w:rsidR="00E02A09" w:rsidRPr="00D9330B">
        <w:rPr>
          <w:rFonts w:ascii="Times New Roman" w:hAnsi="Times New Roman" w:cs="Times New Roman"/>
          <w:sz w:val="24"/>
          <w:szCs w:val="24"/>
          <w:lang w:val="en-GB"/>
        </w:rPr>
        <w:t xml:space="preserve"> is a useful insight,</w:t>
      </w:r>
      <w:r w:rsidR="00F6782F" w:rsidRPr="00D9330B">
        <w:rPr>
          <w:rFonts w:ascii="Times New Roman" w:hAnsi="Times New Roman" w:cs="Times New Roman"/>
          <w:sz w:val="24"/>
          <w:szCs w:val="24"/>
          <w:lang w:val="en-GB"/>
        </w:rPr>
        <w:t xml:space="preserve"> which will be developed</w:t>
      </w:r>
      <w:r w:rsidR="00E56C65" w:rsidRPr="00D9330B">
        <w:rPr>
          <w:rFonts w:ascii="Times New Roman" w:hAnsi="Times New Roman" w:cs="Times New Roman"/>
          <w:sz w:val="24"/>
          <w:szCs w:val="24"/>
          <w:lang w:val="en-GB"/>
        </w:rPr>
        <w:t xml:space="preserve"> later</w:t>
      </w:r>
      <w:r w:rsidR="00E02A09" w:rsidRPr="00D9330B">
        <w:rPr>
          <w:rFonts w:ascii="Times New Roman" w:hAnsi="Times New Roman" w:cs="Times New Roman"/>
          <w:sz w:val="24"/>
          <w:szCs w:val="24"/>
          <w:lang w:val="en-GB"/>
        </w:rPr>
        <w:t>,</w:t>
      </w:r>
      <w:r w:rsidR="00304FBF" w:rsidRPr="00D9330B">
        <w:rPr>
          <w:rFonts w:ascii="Times New Roman" w:hAnsi="Times New Roman" w:cs="Times New Roman"/>
          <w:sz w:val="24"/>
          <w:szCs w:val="24"/>
          <w:lang w:val="en-GB"/>
        </w:rPr>
        <w:t xml:space="preserve"> but this literature does not put Brazil’s military era</w:t>
      </w:r>
      <w:r w:rsidR="00B16E89" w:rsidRPr="00D9330B">
        <w:rPr>
          <w:rFonts w:ascii="Times New Roman" w:hAnsi="Times New Roman" w:cs="Times New Roman"/>
          <w:sz w:val="24"/>
          <w:szCs w:val="24"/>
          <w:lang w:val="en-GB"/>
        </w:rPr>
        <w:t xml:space="preserve"> reform</w:t>
      </w:r>
      <w:r w:rsidR="00E02A09" w:rsidRPr="00D9330B">
        <w:rPr>
          <w:rFonts w:ascii="Times New Roman" w:hAnsi="Times New Roman" w:cs="Times New Roman"/>
          <w:sz w:val="24"/>
          <w:szCs w:val="24"/>
          <w:lang w:val="en-GB"/>
        </w:rPr>
        <w:t xml:space="preserve"> in comparative perspective and thus do</w:t>
      </w:r>
      <w:r w:rsidR="00B16E89" w:rsidRPr="00D9330B">
        <w:rPr>
          <w:rFonts w:ascii="Times New Roman" w:hAnsi="Times New Roman" w:cs="Times New Roman"/>
          <w:sz w:val="24"/>
          <w:szCs w:val="24"/>
          <w:lang w:val="en-GB"/>
        </w:rPr>
        <w:t>es</w:t>
      </w:r>
      <w:r w:rsidR="00E02A09" w:rsidRPr="00D9330B">
        <w:rPr>
          <w:rFonts w:ascii="Times New Roman" w:hAnsi="Times New Roman" w:cs="Times New Roman"/>
          <w:sz w:val="24"/>
          <w:szCs w:val="24"/>
          <w:lang w:val="en-GB"/>
        </w:rPr>
        <w:t xml:space="preserve"> not</w:t>
      </w:r>
      <w:r w:rsidR="002703DE" w:rsidRPr="00D9330B">
        <w:rPr>
          <w:rFonts w:ascii="Times New Roman" w:hAnsi="Times New Roman" w:cs="Times New Roman"/>
          <w:sz w:val="24"/>
          <w:szCs w:val="24"/>
          <w:lang w:val="en-GB"/>
        </w:rPr>
        <w:t xml:space="preserve"> shed</w:t>
      </w:r>
      <w:r w:rsidR="00763829" w:rsidRPr="00D9330B">
        <w:rPr>
          <w:rFonts w:ascii="Times New Roman" w:hAnsi="Times New Roman" w:cs="Times New Roman"/>
          <w:sz w:val="24"/>
          <w:szCs w:val="24"/>
          <w:lang w:val="en-GB"/>
        </w:rPr>
        <w:t xml:space="preserve"> light on why other countries did not keep pace with Brazil</w:t>
      </w:r>
      <w:r w:rsidR="00D3109F" w:rsidRPr="00D9330B">
        <w:rPr>
          <w:rFonts w:ascii="Times New Roman" w:hAnsi="Times New Roman" w:cs="Times New Roman"/>
          <w:sz w:val="24"/>
          <w:szCs w:val="24"/>
          <w:lang w:val="en-GB"/>
        </w:rPr>
        <w:t>.</w:t>
      </w:r>
    </w:p>
    <w:p w:rsidR="006C3292" w:rsidRPr="00D9330B" w:rsidRDefault="002F0EE1" w:rsidP="009A1EE9">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 second question is why Brazil’s leadership has not done more to</w:t>
      </w:r>
      <w:r w:rsidR="00E56C65" w:rsidRPr="00D9330B">
        <w:rPr>
          <w:rFonts w:ascii="Times New Roman" w:hAnsi="Times New Roman" w:cs="Times New Roman"/>
          <w:sz w:val="24"/>
          <w:szCs w:val="24"/>
          <w:lang w:val="en-GB"/>
        </w:rPr>
        <w:t xml:space="preserve"> attenuate the</w:t>
      </w:r>
      <w:r w:rsidR="00B752CD" w:rsidRPr="00D9330B">
        <w:rPr>
          <w:rFonts w:ascii="Times New Roman" w:hAnsi="Times New Roman" w:cs="Times New Roman"/>
          <w:sz w:val="24"/>
          <w:szCs w:val="24"/>
          <w:lang w:val="en-GB"/>
        </w:rPr>
        <w:t xml:space="preserve"> spending pressures</w:t>
      </w:r>
      <w:r w:rsidR="006C3292" w:rsidRPr="00D9330B">
        <w:rPr>
          <w:rFonts w:ascii="Times New Roman" w:hAnsi="Times New Roman" w:cs="Times New Roman"/>
          <w:sz w:val="24"/>
          <w:szCs w:val="24"/>
          <w:lang w:val="en-GB"/>
        </w:rPr>
        <w:t xml:space="preserve"> rooted in the constitution</w:t>
      </w:r>
      <w:r w:rsidR="001F071A" w:rsidRPr="00D9330B">
        <w:rPr>
          <w:rFonts w:ascii="Times New Roman" w:hAnsi="Times New Roman" w:cs="Times New Roman"/>
          <w:sz w:val="24"/>
          <w:szCs w:val="24"/>
          <w:lang w:val="en-GB"/>
        </w:rPr>
        <w:t>, instead of relying on</w:t>
      </w:r>
      <w:r w:rsidR="006F483F" w:rsidRPr="00D9330B">
        <w:rPr>
          <w:rFonts w:ascii="Times New Roman" w:hAnsi="Times New Roman" w:cs="Times New Roman"/>
          <w:sz w:val="24"/>
          <w:szCs w:val="24"/>
          <w:lang w:val="en-GB"/>
        </w:rPr>
        <w:t xml:space="preserve"> conti</w:t>
      </w:r>
      <w:r w:rsidR="00534D51" w:rsidRPr="00D9330B">
        <w:rPr>
          <w:rFonts w:ascii="Times New Roman" w:hAnsi="Times New Roman" w:cs="Times New Roman"/>
          <w:sz w:val="24"/>
          <w:szCs w:val="24"/>
          <w:lang w:val="en-GB"/>
        </w:rPr>
        <w:t>nual increases in taxation</w:t>
      </w:r>
      <w:r w:rsidRPr="00D9330B">
        <w:rPr>
          <w:rFonts w:ascii="Times New Roman" w:hAnsi="Times New Roman" w:cs="Times New Roman"/>
          <w:sz w:val="24"/>
          <w:szCs w:val="24"/>
          <w:lang w:val="en-GB"/>
        </w:rPr>
        <w:t>.</w:t>
      </w:r>
      <w:r w:rsidR="009C3686" w:rsidRPr="00D9330B">
        <w:rPr>
          <w:rFonts w:ascii="Times New Roman" w:hAnsi="Times New Roman" w:cs="Times New Roman"/>
          <w:sz w:val="24"/>
          <w:szCs w:val="24"/>
          <w:lang w:val="en-GB"/>
        </w:rPr>
        <w:t xml:space="preserve"> Constitutional am</w:t>
      </w:r>
      <w:r w:rsidR="00792F70" w:rsidRPr="00D9330B">
        <w:rPr>
          <w:rFonts w:ascii="Times New Roman" w:hAnsi="Times New Roman" w:cs="Times New Roman"/>
          <w:sz w:val="24"/>
          <w:szCs w:val="24"/>
          <w:lang w:val="en-GB"/>
        </w:rPr>
        <w:t>endments passed in 1998 and 2003</w:t>
      </w:r>
      <w:r w:rsidR="005B1A73" w:rsidRPr="00D9330B">
        <w:rPr>
          <w:rFonts w:ascii="Times New Roman" w:hAnsi="Times New Roman" w:cs="Times New Roman"/>
          <w:sz w:val="24"/>
          <w:szCs w:val="24"/>
          <w:lang w:val="en-GB"/>
        </w:rPr>
        <w:t xml:space="preserve"> did chip</w:t>
      </w:r>
      <w:r w:rsidR="00792F70" w:rsidRPr="00D9330B">
        <w:rPr>
          <w:rFonts w:ascii="Times New Roman" w:hAnsi="Times New Roman" w:cs="Times New Roman"/>
          <w:sz w:val="24"/>
          <w:szCs w:val="24"/>
          <w:lang w:val="en-GB"/>
        </w:rPr>
        <w:t xml:space="preserve"> away at the benefits awarded under</w:t>
      </w:r>
      <w:r w:rsidR="003D35BC" w:rsidRPr="00D9330B">
        <w:rPr>
          <w:rFonts w:ascii="Times New Roman" w:hAnsi="Times New Roman" w:cs="Times New Roman"/>
          <w:sz w:val="24"/>
          <w:szCs w:val="24"/>
          <w:lang w:val="en-GB"/>
        </w:rPr>
        <w:t xml:space="preserve"> both</w:t>
      </w:r>
      <w:r w:rsidR="00792F70" w:rsidRPr="00D9330B">
        <w:rPr>
          <w:rFonts w:ascii="Times New Roman" w:hAnsi="Times New Roman" w:cs="Times New Roman"/>
          <w:sz w:val="24"/>
          <w:szCs w:val="24"/>
          <w:lang w:val="en-GB"/>
        </w:rPr>
        <w:t xml:space="preserve"> the general pension system and the special</w:t>
      </w:r>
      <w:r w:rsidR="00E56C65" w:rsidRPr="00D9330B">
        <w:rPr>
          <w:rFonts w:ascii="Times New Roman" w:hAnsi="Times New Roman" w:cs="Times New Roman"/>
          <w:sz w:val="24"/>
          <w:szCs w:val="24"/>
          <w:lang w:val="en-GB"/>
        </w:rPr>
        <w:t xml:space="preserve"> system for civil servants, but they</w:t>
      </w:r>
      <w:r w:rsidR="00DA7422" w:rsidRPr="00D9330B">
        <w:rPr>
          <w:rFonts w:ascii="Times New Roman" w:hAnsi="Times New Roman" w:cs="Times New Roman"/>
          <w:sz w:val="24"/>
          <w:szCs w:val="24"/>
          <w:lang w:val="en-GB"/>
        </w:rPr>
        <w:t xml:space="preserve"> </w:t>
      </w:r>
      <w:r w:rsidR="00534D51" w:rsidRPr="00D9330B">
        <w:rPr>
          <w:rFonts w:ascii="Times New Roman" w:hAnsi="Times New Roman" w:cs="Times New Roman"/>
          <w:sz w:val="24"/>
          <w:szCs w:val="24"/>
          <w:lang w:val="en-GB"/>
        </w:rPr>
        <w:t>fell well short</w:t>
      </w:r>
      <w:r w:rsidR="00605CE3" w:rsidRPr="00D9330B">
        <w:rPr>
          <w:rFonts w:ascii="Times New Roman" w:hAnsi="Times New Roman" w:cs="Times New Roman"/>
          <w:sz w:val="24"/>
          <w:szCs w:val="24"/>
          <w:lang w:val="en-GB"/>
        </w:rPr>
        <w:t xml:space="preserve"> of</w:t>
      </w:r>
      <w:r w:rsidR="00534D51" w:rsidRPr="00D9330B">
        <w:rPr>
          <w:rFonts w:ascii="Times New Roman" w:hAnsi="Times New Roman" w:cs="Times New Roman"/>
          <w:sz w:val="24"/>
          <w:szCs w:val="24"/>
          <w:lang w:val="en-GB"/>
        </w:rPr>
        <w:t xml:space="preserve"> major reform</w:t>
      </w:r>
      <w:r w:rsidR="00792F70" w:rsidRPr="00D9330B">
        <w:rPr>
          <w:rFonts w:ascii="Times New Roman" w:hAnsi="Times New Roman" w:cs="Times New Roman"/>
          <w:sz w:val="24"/>
          <w:szCs w:val="24"/>
          <w:lang w:val="en-GB"/>
        </w:rPr>
        <w:t>.</w:t>
      </w:r>
      <w:r w:rsidR="003D35BC" w:rsidRPr="00D9330B">
        <w:rPr>
          <w:rStyle w:val="FootnoteReference"/>
          <w:rFonts w:ascii="Times New Roman" w:hAnsi="Times New Roman" w:cs="Times New Roman"/>
          <w:sz w:val="24"/>
          <w:szCs w:val="24"/>
          <w:lang w:val="en-GB"/>
        </w:rPr>
        <w:footnoteReference w:id="58"/>
      </w:r>
      <w:r w:rsidR="009C3686" w:rsidRPr="00D9330B">
        <w:rPr>
          <w:rFonts w:ascii="Times New Roman" w:hAnsi="Times New Roman" w:cs="Times New Roman"/>
          <w:sz w:val="24"/>
          <w:szCs w:val="24"/>
          <w:lang w:val="en-GB"/>
        </w:rPr>
        <w:t xml:space="preserve"> </w:t>
      </w:r>
      <w:r w:rsidR="00B36AE1" w:rsidRPr="00D9330B">
        <w:rPr>
          <w:rFonts w:ascii="Times New Roman" w:hAnsi="Times New Roman" w:cs="Times New Roman"/>
          <w:sz w:val="24"/>
          <w:szCs w:val="24"/>
          <w:lang w:val="en-GB"/>
        </w:rPr>
        <w:t>The fact that constitutional chan</w:t>
      </w:r>
      <w:r w:rsidR="00E56C65" w:rsidRPr="00D9330B">
        <w:rPr>
          <w:rFonts w:ascii="Times New Roman" w:hAnsi="Times New Roman" w:cs="Times New Roman"/>
          <w:sz w:val="24"/>
          <w:szCs w:val="24"/>
          <w:lang w:val="en-GB"/>
        </w:rPr>
        <w:t>ge requires larger</w:t>
      </w:r>
      <w:r w:rsidR="00B36AE1" w:rsidRPr="00D9330B">
        <w:rPr>
          <w:rFonts w:ascii="Times New Roman" w:hAnsi="Times New Roman" w:cs="Times New Roman"/>
          <w:sz w:val="24"/>
          <w:szCs w:val="24"/>
          <w:lang w:val="en-GB"/>
        </w:rPr>
        <w:t xml:space="preserve"> majorities </w:t>
      </w:r>
      <w:r w:rsidR="00B36AE1" w:rsidRPr="00D9330B">
        <w:rPr>
          <w:rFonts w:ascii="Times New Roman" w:hAnsi="Times New Roman" w:cs="Times New Roman"/>
          <w:sz w:val="24"/>
          <w:szCs w:val="24"/>
          <w:lang w:val="en-GB"/>
        </w:rPr>
        <w:lastRenderedPageBreak/>
        <w:t>than regular legislation is not a satisfying an</w:t>
      </w:r>
      <w:r w:rsidR="007A0568" w:rsidRPr="00D9330B">
        <w:rPr>
          <w:rFonts w:ascii="Times New Roman" w:hAnsi="Times New Roman" w:cs="Times New Roman"/>
          <w:sz w:val="24"/>
          <w:szCs w:val="24"/>
          <w:lang w:val="en-GB"/>
        </w:rPr>
        <w:t>swer, since</w:t>
      </w:r>
      <w:r w:rsidR="0005394B" w:rsidRPr="00D9330B">
        <w:rPr>
          <w:rFonts w:ascii="Times New Roman" w:hAnsi="Times New Roman" w:cs="Times New Roman"/>
          <w:sz w:val="24"/>
          <w:szCs w:val="24"/>
          <w:lang w:val="en-GB"/>
        </w:rPr>
        <w:t xml:space="preserve"> the rule</w:t>
      </w:r>
      <w:r w:rsidR="00DC669F" w:rsidRPr="00D9330B">
        <w:rPr>
          <w:rFonts w:ascii="Times New Roman" w:hAnsi="Times New Roman" w:cs="Times New Roman"/>
          <w:sz w:val="24"/>
          <w:szCs w:val="24"/>
          <w:lang w:val="en-GB"/>
        </w:rPr>
        <w:t>s for amending the</w:t>
      </w:r>
      <w:r w:rsidR="00DA7422" w:rsidRPr="00D9330B">
        <w:rPr>
          <w:rFonts w:ascii="Times New Roman" w:hAnsi="Times New Roman" w:cs="Times New Roman"/>
          <w:sz w:val="24"/>
          <w:szCs w:val="24"/>
          <w:lang w:val="en-GB"/>
        </w:rPr>
        <w:t xml:space="preserve"> constitution</w:t>
      </w:r>
      <w:r w:rsidR="0005394B" w:rsidRPr="00D9330B">
        <w:rPr>
          <w:rFonts w:ascii="Times New Roman" w:hAnsi="Times New Roman" w:cs="Times New Roman"/>
          <w:sz w:val="24"/>
          <w:szCs w:val="24"/>
          <w:lang w:val="en-GB"/>
        </w:rPr>
        <w:t xml:space="preserve"> are not especially demanding</w:t>
      </w:r>
      <w:r w:rsidR="00DA17B9" w:rsidRPr="00D9330B">
        <w:rPr>
          <w:rStyle w:val="FootnoteReference"/>
          <w:rFonts w:ascii="Times New Roman" w:hAnsi="Times New Roman" w:cs="Times New Roman"/>
          <w:sz w:val="24"/>
          <w:szCs w:val="24"/>
          <w:lang w:val="en-GB"/>
        </w:rPr>
        <w:footnoteReference w:id="59"/>
      </w:r>
      <w:r w:rsidR="0005394B" w:rsidRPr="00D9330B">
        <w:rPr>
          <w:rFonts w:ascii="Times New Roman" w:hAnsi="Times New Roman" w:cs="Times New Roman"/>
          <w:sz w:val="24"/>
          <w:szCs w:val="24"/>
          <w:lang w:val="en-GB"/>
        </w:rPr>
        <w:t xml:space="preserve"> and</w:t>
      </w:r>
      <w:r w:rsidR="007A0568" w:rsidRPr="00D9330B">
        <w:rPr>
          <w:rFonts w:ascii="Times New Roman" w:hAnsi="Times New Roman" w:cs="Times New Roman"/>
          <w:sz w:val="24"/>
          <w:szCs w:val="24"/>
          <w:lang w:val="en-GB"/>
        </w:rPr>
        <w:t xml:space="preserve"> Congress</w:t>
      </w:r>
      <w:r w:rsidR="00B36AE1" w:rsidRPr="00D9330B">
        <w:rPr>
          <w:rFonts w:ascii="Times New Roman" w:hAnsi="Times New Roman" w:cs="Times New Roman"/>
          <w:sz w:val="24"/>
          <w:szCs w:val="24"/>
          <w:lang w:val="en-GB"/>
        </w:rPr>
        <w:t xml:space="preserve"> has already amended </w:t>
      </w:r>
      <w:r w:rsidR="003A0305" w:rsidRPr="00D9330B">
        <w:rPr>
          <w:rFonts w:ascii="Times New Roman" w:hAnsi="Times New Roman" w:cs="Times New Roman"/>
          <w:sz w:val="24"/>
          <w:szCs w:val="24"/>
          <w:lang w:val="en-GB"/>
        </w:rPr>
        <w:t>it</w:t>
      </w:r>
      <w:r w:rsidR="00E91ED3" w:rsidRPr="00D9330B">
        <w:rPr>
          <w:rFonts w:ascii="Times New Roman" w:hAnsi="Times New Roman" w:cs="Times New Roman"/>
          <w:sz w:val="24"/>
          <w:szCs w:val="24"/>
          <w:lang w:val="en-GB"/>
        </w:rPr>
        <w:t xml:space="preserve"> more than</w:t>
      </w:r>
      <w:r w:rsidR="003B50F4">
        <w:rPr>
          <w:rFonts w:ascii="Times New Roman" w:hAnsi="Times New Roman" w:cs="Times New Roman"/>
          <w:sz w:val="24"/>
          <w:szCs w:val="24"/>
          <w:lang w:val="en-GB"/>
        </w:rPr>
        <w:t xml:space="preserve"> 80</w:t>
      </w:r>
      <w:r w:rsidR="00B36AE1" w:rsidRPr="00D9330B">
        <w:rPr>
          <w:rFonts w:ascii="Times New Roman" w:hAnsi="Times New Roman" w:cs="Times New Roman"/>
          <w:sz w:val="24"/>
          <w:szCs w:val="24"/>
          <w:lang w:val="en-GB"/>
        </w:rPr>
        <w:t xml:space="preserve"> times</w:t>
      </w:r>
      <w:r w:rsidR="00BE745D" w:rsidRPr="00D9330B">
        <w:rPr>
          <w:rFonts w:ascii="Times New Roman" w:hAnsi="Times New Roman" w:cs="Times New Roman"/>
          <w:sz w:val="24"/>
          <w:szCs w:val="24"/>
          <w:lang w:val="en-GB"/>
        </w:rPr>
        <w:t>.</w:t>
      </w:r>
      <w:r w:rsidR="00180EA9" w:rsidRPr="00D9330B">
        <w:rPr>
          <w:rFonts w:ascii="Times New Roman" w:hAnsi="Times New Roman" w:cs="Times New Roman"/>
          <w:sz w:val="24"/>
          <w:szCs w:val="24"/>
          <w:lang w:val="en-GB"/>
        </w:rPr>
        <w:t xml:space="preserve"> Indeed, constituti</w:t>
      </w:r>
      <w:r w:rsidR="002506CB" w:rsidRPr="00D9330B">
        <w:rPr>
          <w:rFonts w:ascii="Times New Roman" w:hAnsi="Times New Roman" w:cs="Times New Roman"/>
          <w:sz w:val="24"/>
          <w:szCs w:val="24"/>
          <w:lang w:val="en-GB"/>
        </w:rPr>
        <w:t>onal amendment has become</w:t>
      </w:r>
      <w:r w:rsidR="00EB7C16" w:rsidRPr="00D9330B">
        <w:rPr>
          <w:rFonts w:ascii="Times New Roman" w:hAnsi="Times New Roman" w:cs="Times New Roman"/>
          <w:sz w:val="24"/>
          <w:szCs w:val="24"/>
          <w:lang w:val="en-GB"/>
        </w:rPr>
        <w:t xml:space="preserve"> </w:t>
      </w:r>
      <w:r w:rsidR="00C21933">
        <w:rPr>
          <w:rFonts w:ascii="Times New Roman" w:hAnsi="Times New Roman" w:cs="Times New Roman"/>
          <w:sz w:val="24"/>
          <w:szCs w:val="24"/>
          <w:lang w:val="en-GB"/>
        </w:rPr>
        <w:t xml:space="preserve">almost </w:t>
      </w:r>
      <w:r w:rsidR="00EB7C16" w:rsidRPr="00D9330B">
        <w:rPr>
          <w:rFonts w:ascii="Times New Roman" w:hAnsi="Times New Roman" w:cs="Times New Roman"/>
          <w:sz w:val="24"/>
          <w:szCs w:val="24"/>
          <w:lang w:val="en-GB"/>
        </w:rPr>
        <w:t>a routine aspect of</w:t>
      </w:r>
      <w:r w:rsidR="00EB6740" w:rsidRPr="00D9330B">
        <w:rPr>
          <w:rFonts w:ascii="Times New Roman" w:hAnsi="Times New Roman" w:cs="Times New Roman"/>
          <w:sz w:val="24"/>
          <w:szCs w:val="24"/>
          <w:lang w:val="en-GB"/>
        </w:rPr>
        <w:t xml:space="preserve"> </w:t>
      </w:r>
      <w:r w:rsidR="00180EA9" w:rsidRPr="00D9330B">
        <w:rPr>
          <w:rFonts w:ascii="Times New Roman" w:hAnsi="Times New Roman" w:cs="Times New Roman"/>
          <w:sz w:val="24"/>
          <w:szCs w:val="24"/>
          <w:lang w:val="en-GB"/>
        </w:rPr>
        <w:t>governance.</w:t>
      </w:r>
      <w:r w:rsidR="006F5B39" w:rsidRPr="00D9330B">
        <w:rPr>
          <w:rStyle w:val="FootnoteReference"/>
          <w:rFonts w:ascii="Times New Roman" w:hAnsi="Times New Roman" w:cs="Times New Roman"/>
          <w:sz w:val="24"/>
          <w:szCs w:val="24"/>
          <w:lang w:val="en-GB"/>
        </w:rPr>
        <w:footnoteReference w:id="60"/>
      </w:r>
      <w:r w:rsidR="00EB6740" w:rsidRPr="00D9330B">
        <w:rPr>
          <w:rFonts w:ascii="Times New Roman" w:hAnsi="Times New Roman" w:cs="Times New Roman"/>
          <w:sz w:val="24"/>
          <w:szCs w:val="24"/>
          <w:lang w:val="en-GB"/>
        </w:rPr>
        <w:t xml:space="preserve"> More often than not, </w:t>
      </w:r>
      <w:r w:rsidR="00BE745D" w:rsidRPr="00D9330B">
        <w:rPr>
          <w:rFonts w:ascii="Times New Roman" w:hAnsi="Times New Roman" w:cs="Times New Roman"/>
          <w:sz w:val="24"/>
          <w:szCs w:val="24"/>
          <w:lang w:val="en-GB"/>
        </w:rPr>
        <w:t>amendments</w:t>
      </w:r>
      <w:r w:rsidR="00EB6740" w:rsidRPr="00D9330B">
        <w:rPr>
          <w:rFonts w:ascii="Times New Roman" w:hAnsi="Times New Roman" w:cs="Times New Roman"/>
          <w:sz w:val="24"/>
          <w:szCs w:val="24"/>
          <w:lang w:val="en-GB"/>
        </w:rPr>
        <w:t xml:space="preserve"> on fiscal matters have</w:t>
      </w:r>
      <w:r w:rsidR="00EC29F8" w:rsidRPr="00D9330B">
        <w:rPr>
          <w:rFonts w:ascii="Times New Roman" w:hAnsi="Times New Roman" w:cs="Times New Roman"/>
          <w:sz w:val="24"/>
          <w:szCs w:val="24"/>
          <w:lang w:val="en-GB"/>
        </w:rPr>
        <w:t xml:space="preserve"> actually</w:t>
      </w:r>
      <w:r w:rsidR="00B36AE1" w:rsidRPr="00D9330B">
        <w:rPr>
          <w:rFonts w:ascii="Times New Roman" w:hAnsi="Times New Roman" w:cs="Times New Roman"/>
          <w:sz w:val="24"/>
          <w:szCs w:val="24"/>
          <w:lang w:val="en-GB"/>
        </w:rPr>
        <w:t xml:space="preserve"> contributed t</w:t>
      </w:r>
      <w:r w:rsidR="009D5847" w:rsidRPr="00D9330B">
        <w:rPr>
          <w:rFonts w:ascii="Times New Roman" w:hAnsi="Times New Roman" w:cs="Times New Roman"/>
          <w:sz w:val="24"/>
          <w:szCs w:val="24"/>
          <w:lang w:val="en-GB"/>
        </w:rPr>
        <w:t>o higher</w:t>
      </w:r>
      <w:r w:rsidR="00BE745D" w:rsidRPr="00D9330B">
        <w:rPr>
          <w:rFonts w:ascii="Times New Roman" w:hAnsi="Times New Roman" w:cs="Times New Roman"/>
          <w:sz w:val="24"/>
          <w:szCs w:val="24"/>
          <w:lang w:val="en-GB"/>
        </w:rPr>
        <w:t xml:space="preserve"> taxation</w:t>
      </w:r>
      <w:r w:rsidR="001F071A" w:rsidRPr="00D9330B">
        <w:rPr>
          <w:rFonts w:ascii="Times New Roman" w:hAnsi="Times New Roman" w:cs="Times New Roman"/>
          <w:sz w:val="24"/>
          <w:szCs w:val="24"/>
          <w:lang w:val="en-GB"/>
        </w:rPr>
        <w:t xml:space="preserve"> by, for example, creating new taxes or allowing contributions to be used as general revenue</w:t>
      </w:r>
      <w:r w:rsidR="00BE745D" w:rsidRPr="00D9330B">
        <w:rPr>
          <w:rFonts w:ascii="Times New Roman" w:hAnsi="Times New Roman" w:cs="Times New Roman"/>
          <w:sz w:val="24"/>
          <w:szCs w:val="24"/>
          <w:lang w:val="en-GB"/>
        </w:rPr>
        <w:t>.</w:t>
      </w:r>
      <w:r w:rsidR="005B1A73" w:rsidRPr="00D9330B">
        <w:rPr>
          <w:rStyle w:val="FootnoteReference"/>
          <w:rFonts w:ascii="Times New Roman" w:hAnsi="Times New Roman" w:cs="Times New Roman"/>
          <w:sz w:val="24"/>
          <w:szCs w:val="24"/>
          <w:lang w:val="en-GB"/>
        </w:rPr>
        <w:footnoteReference w:id="61"/>
      </w:r>
      <w:r w:rsidR="00BE745D" w:rsidRPr="00D9330B">
        <w:rPr>
          <w:rFonts w:ascii="Times New Roman" w:hAnsi="Times New Roman" w:cs="Times New Roman"/>
          <w:sz w:val="24"/>
          <w:szCs w:val="24"/>
          <w:lang w:val="en-GB"/>
        </w:rPr>
        <w:t xml:space="preserve"> Furthermore, the constitution itsel</w:t>
      </w:r>
      <w:r w:rsidR="00180EA9" w:rsidRPr="00D9330B">
        <w:rPr>
          <w:rFonts w:ascii="Times New Roman" w:hAnsi="Times New Roman" w:cs="Times New Roman"/>
          <w:sz w:val="24"/>
          <w:szCs w:val="24"/>
          <w:lang w:val="en-GB"/>
        </w:rPr>
        <w:t>f mandated a ‘revision’ five years after</w:t>
      </w:r>
      <w:r w:rsidR="00DA7422" w:rsidRPr="00D9330B">
        <w:rPr>
          <w:rFonts w:ascii="Times New Roman" w:hAnsi="Times New Roman" w:cs="Times New Roman"/>
          <w:sz w:val="24"/>
          <w:szCs w:val="24"/>
          <w:lang w:val="en-GB"/>
        </w:rPr>
        <w:t xml:space="preserve"> ratification</w:t>
      </w:r>
      <w:r w:rsidR="00180EA9" w:rsidRPr="00D9330B">
        <w:rPr>
          <w:rFonts w:ascii="Times New Roman" w:hAnsi="Times New Roman" w:cs="Times New Roman"/>
          <w:sz w:val="24"/>
          <w:szCs w:val="24"/>
          <w:lang w:val="en-GB"/>
        </w:rPr>
        <w:t xml:space="preserve"> in order to correct</w:t>
      </w:r>
      <w:r w:rsidR="00457253" w:rsidRPr="00D9330B">
        <w:rPr>
          <w:rFonts w:ascii="Times New Roman" w:hAnsi="Times New Roman" w:cs="Times New Roman"/>
          <w:sz w:val="24"/>
          <w:szCs w:val="24"/>
          <w:lang w:val="en-GB"/>
        </w:rPr>
        <w:t xml:space="preserve"> </w:t>
      </w:r>
      <w:r w:rsidR="00180EA9" w:rsidRPr="00D9330B">
        <w:rPr>
          <w:rFonts w:ascii="Times New Roman" w:hAnsi="Times New Roman" w:cs="Times New Roman"/>
          <w:sz w:val="24"/>
          <w:szCs w:val="24"/>
          <w:lang w:val="en-GB"/>
        </w:rPr>
        <w:t>pro</w:t>
      </w:r>
      <w:r w:rsidR="00417EDB" w:rsidRPr="00D9330B">
        <w:rPr>
          <w:rFonts w:ascii="Times New Roman" w:hAnsi="Times New Roman" w:cs="Times New Roman"/>
          <w:sz w:val="24"/>
          <w:szCs w:val="24"/>
          <w:lang w:val="en-GB"/>
        </w:rPr>
        <w:t>blems that might emerge</w:t>
      </w:r>
      <w:r w:rsidR="00534D51" w:rsidRPr="00D9330B">
        <w:rPr>
          <w:rFonts w:ascii="Times New Roman" w:hAnsi="Times New Roman" w:cs="Times New Roman"/>
          <w:sz w:val="24"/>
          <w:szCs w:val="24"/>
          <w:lang w:val="en-GB"/>
        </w:rPr>
        <w:t>. During the 1993 revision</w:t>
      </w:r>
      <w:r w:rsidR="00BE745D" w:rsidRPr="00D9330B">
        <w:rPr>
          <w:rFonts w:ascii="Times New Roman" w:hAnsi="Times New Roman" w:cs="Times New Roman"/>
          <w:sz w:val="24"/>
          <w:szCs w:val="24"/>
          <w:lang w:val="en-GB"/>
        </w:rPr>
        <w:t xml:space="preserve"> amendments could be p</w:t>
      </w:r>
      <w:r w:rsidR="00534D51" w:rsidRPr="00D9330B">
        <w:rPr>
          <w:rFonts w:ascii="Times New Roman" w:hAnsi="Times New Roman" w:cs="Times New Roman"/>
          <w:sz w:val="24"/>
          <w:szCs w:val="24"/>
          <w:lang w:val="en-GB"/>
        </w:rPr>
        <w:t>assed by simple majority</w:t>
      </w:r>
      <w:r w:rsidR="00180EA9" w:rsidRPr="00D9330B">
        <w:rPr>
          <w:rFonts w:ascii="Times New Roman" w:hAnsi="Times New Roman" w:cs="Times New Roman"/>
          <w:sz w:val="24"/>
          <w:szCs w:val="24"/>
          <w:lang w:val="en-GB"/>
        </w:rPr>
        <w:t>, yet Congress failed</w:t>
      </w:r>
      <w:r w:rsidR="00457253" w:rsidRPr="00D9330B">
        <w:rPr>
          <w:rFonts w:ascii="Times New Roman" w:hAnsi="Times New Roman" w:cs="Times New Roman"/>
          <w:sz w:val="24"/>
          <w:szCs w:val="24"/>
          <w:lang w:val="en-GB"/>
        </w:rPr>
        <w:t xml:space="preserve"> to pass any amendment</w:t>
      </w:r>
      <w:r w:rsidR="00E56C65" w:rsidRPr="00D9330B">
        <w:rPr>
          <w:rFonts w:ascii="Times New Roman" w:hAnsi="Times New Roman" w:cs="Times New Roman"/>
          <w:sz w:val="24"/>
          <w:szCs w:val="24"/>
          <w:lang w:val="en-GB"/>
        </w:rPr>
        <w:t xml:space="preserve"> reducing </w:t>
      </w:r>
      <w:r w:rsidR="006C588E" w:rsidRPr="00D9330B">
        <w:rPr>
          <w:rFonts w:ascii="Times New Roman" w:hAnsi="Times New Roman" w:cs="Times New Roman"/>
          <w:sz w:val="24"/>
          <w:szCs w:val="24"/>
          <w:lang w:val="en-GB"/>
        </w:rPr>
        <w:t>spending</w:t>
      </w:r>
      <w:r w:rsidR="00BE745D" w:rsidRPr="00D9330B">
        <w:rPr>
          <w:rFonts w:ascii="Times New Roman" w:hAnsi="Times New Roman" w:cs="Times New Roman"/>
          <w:sz w:val="24"/>
          <w:szCs w:val="24"/>
          <w:lang w:val="en-GB"/>
        </w:rPr>
        <w:t>.</w:t>
      </w:r>
    </w:p>
    <w:p w:rsidR="00E17570" w:rsidRPr="00D9330B" w:rsidRDefault="00AA636D" w:rsidP="00CC6B6F">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Thus, there are good reasons to doubt that the fiscal provisions of the 1988 constitution</w:t>
      </w:r>
      <w:r w:rsidR="00EC3532" w:rsidRPr="00D9330B">
        <w:rPr>
          <w:rFonts w:ascii="Times New Roman" w:hAnsi="Times New Roman" w:cs="Times New Roman"/>
          <w:sz w:val="24"/>
          <w:szCs w:val="24"/>
          <w:lang w:val="en-GB"/>
        </w:rPr>
        <w:t>,</w:t>
      </w:r>
      <w:r w:rsidRPr="00D9330B">
        <w:rPr>
          <w:rFonts w:ascii="Times New Roman" w:hAnsi="Times New Roman" w:cs="Times New Roman"/>
          <w:sz w:val="24"/>
          <w:szCs w:val="24"/>
          <w:lang w:val="en-GB"/>
        </w:rPr>
        <w:t xml:space="preserve"> represent a sufficient explanation of the increase in Brazil’s tax burden in recent decades, much less of Brazil’</w:t>
      </w:r>
      <w:r w:rsidR="008B464C" w:rsidRPr="00D9330B">
        <w:rPr>
          <w:rFonts w:ascii="Times New Roman" w:hAnsi="Times New Roman" w:cs="Times New Roman"/>
          <w:sz w:val="24"/>
          <w:szCs w:val="24"/>
          <w:lang w:val="en-GB"/>
        </w:rPr>
        <w:t>s</w:t>
      </w:r>
      <w:r w:rsidRPr="00D9330B">
        <w:rPr>
          <w:rFonts w:ascii="Times New Roman" w:hAnsi="Times New Roman" w:cs="Times New Roman"/>
          <w:sz w:val="24"/>
          <w:szCs w:val="24"/>
          <w:lang w:val="en-GB"/>
        </w:rPr>
        <w:t xml:space="preserve"> </w:t>
      </w:r>
      <w:r w:rsidR="00C072F8" w:rsidRPr="00D9330B">
        <w:rPr>
          <w:rFonts w:ascii="Times New Roman" w:hAnsi="Times New Roman" w:cs="Times New Roman"/>
          <w:sz w:val="24"/>
          <w:szCs w:val="24"/>
          <w:lang w:val="en-GB"/>
        </w:rPr>
        <w:t xml:space="preserve">longstanding </w:t>
      </w:r>
      <w:r w:rsidRPr="00D9330B">
        <w:rPr>
          <w:rFonts w:ascii="Times New Roman" w:hAnsi="Times New Roman" w:cs="Times New Roman"/>
          <w:sz w:val="24"/>
          <w:szCs w:val="24"/>
          <w:lang w:val="en-GB"/>
        </w:rPr>
        <w:t>status as the most heavily-tax</w:t>
      </w:r>
      <w:r w:rsidR="00EB7C16" w:rsidRPr="00D9330B">
        <w:rPr>
          <w:rFonts w:ascii="Times New Roman" w:hAnsi="Times New Roman" w:cs="Times New Roman"/>
          <w:sz w:val="24"/>
          <w:szCs w:val="24"/>
          <w:lang w:val="en-GB"/>
        </w:rPr>
        <w:t>ed country in the</w:t>
      </w:r>
      <w:r w:rsidRPr="00D9330B">
        <w:rPr>
          <w:rFonts w:ascii="Times New Roman" w:hAnsi="Times New Roman" w:cs="Times New Roman"/>
          <w:sz w:val="24"/>
          <w:szCs w:val="24"/>
          <w:lang w:val="en-GB"/>
        </w:rPr>
        <w:t xml:space="preserve"> region.</w:t>
      </w:r>
    </w:p>
    <w:p w:rsidR="00E17570" w:rsidRPr="00D9330B" w:rsidRDefault="00E17570" w:rsidP="009A1EE9">
      <w:pPr>
        <w:spacing w:after="0" w:line="480" w:lineRule="auto"/>
        <w:ind w:firstLine="720"/>
        <w:rPr>
          <w:rFonts w:ascii="Times New Roman" w:hAnsi="Times New Roman" w:cs="Times New Roman"/>
          <w:sz w:val="24"/>
          <w:szCs w:val="24"/>
          <w:lang w:val="en-GB"/>
        </w:rPr>
      </w:pPr>
    </w:p>
    <w:p w:rsidR="00712E3A" w:rsidRDefault="00712E3A" w:rsidP="00DD25E7">
      <w:pPr>
        <w:spacing w:after="0" w:line="480" w:lineRule="auto"/>
        <w:jc w:val="center"/>
        <w:rPr>
          <w:rFonts w:ascii="Times New Roman" w:hAnsi="Times New Roman" w:cs="Times New Roman"/>
          <w:i/>
          <w:sz w:val="24"/>
          <w:szCs w:val="24"/>
          <w:lang w:val="en-GB"/>
        </w:rPr>
      </w:pPr>
    </w:p>
    <w:p w:rsidR="005842C1" w:rsidRPr="00D9330B" w:rsidRDefault="005842C1" w:rsidP="00DD25E7">
      <w:pPr>
        <w:spacing w:after="0" w:line="480" w:lineRule="auto"/>
        <w:jc w:val="center"/>
        <w:rPr>
          <w:rFonts w:ascii="Times New Roman" w:hAnsi="Times New Roman" w:cs="Times New Roman"/>
          <w:i/>
          <w:sz w:val="24"/>
          <w:szCs w:val="24"/>
          <w:lang w:val="en-GB"/>
        </w:rPr>
      </w:pPr>
      <w:r w:rsidRPr="00D9330B">
        <w:rPr>
          <w:rFonts w:ascii="Times New Roman" w:hAnsi="Times New Roman" w:cs="Times New Roman"/>
          <w:i/>
          <w:sz w:val="24"/>
          <w:szCs w:val="24"/>
          <w:lang w:val="en-GB"/>
        </w:rPr>
        <w:lastRenderedPageBreak/>
        <w:t>Brazil’s Emergence as Latin America’s Most Heavily Taxed Country</w:t>
      </w:r>
    </w:p>
    <w:p w:rsidR="0003050E" w:rsidRPr="00D9330B" w:rsidRDefault="002C5F39" w:rsidP="001A689D">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Th</w:t>
      </w:r>
      <w:r w:rsidR="0003050E" w:rsidRPr="00D9330B">
        <w:rPr>
          <w:rFonts w:ascii="Times New Roman" w:hAnsi="Times New Roman" w:cs="Times New Roman"/>
          <w:sz w:val="24"/>
          <w:szCs w:val="24"/>
          <w:lang w:val="en-GB"/>
        </w:rPr>
        <w:t>e next two sections</w:t>
      </w:r>
      <w:r w:rsidR="00534D51" w:rsidRPr="00D9330B">
        <w:rPr>
          <w:rFonts w:ascii="Times New Roman" w:hAnsi="Times New Roman" w:cs="Times New Roman"/>
          <w:sz w:val="24"/>
          <w:szCs w:val="24"/>
          <w:lang w:val="en-GB"/>
        </w:rPr>
        <w:t xml:space="preserve"> attempt to fill in the gaps in</w:t>
      </w:r>
      <w:r w:rsidR="002A2407" w:rsidRPr="00D9330B">
        <w:rPr>
          <w:rFonts w:ascii="Times New Roman" w:hAnsi="Times New Roman" w:cs="Times New Roman"/>
          <w:sz w:val="24"/>
          <w:szCs w:val="24"/>
          <w:lang w:val="en-GB"/>
        </w:rPr>
        <w:t xml:space="preserve"> this puzzle</w:t>
      </w:r>
      <w:r w:rsidR="0003050E" w:rsidRPr="00D9330B">
        <w:rPr>
          <w:rFonts w:ascii="Times New Roman" w:hAnsi="Times New Roman" w:cs="Times New Roman"/>
          <w:sz w:val="24"/>
          <w:szCs w:val="24"/>
          <w:lang w:val="en-GB"/>
        </w:rPr>
        <w:t xml:space="preserve"> b</w:t>
      </w:r>
      <w:r w:rsidR="00B87FD3" w:rsidRPr="00D9330B">
        <w:rPr>
          <w:rFonts w:ascii="Times New Roman" w:hAnsi="Times New Roman" w:cs="Times New Roman"/>
          <w:sz w:val="24"/>
          <w:szCs w:val="24"/>
          <w:lang w:val="en-GB"/>
        </w:rPr>
        <w:t>y examining how</w:t>
      </w:r>
      <w:r w:rsidRPr="00D9330B">
        <w:rPr>
          <w:rFonts w:ascii="Times New Roman" w:hAnsi="Times New Roman" w:cs="Times New Roman"/>
          <w:sz w:val="24"/>
          <w:szCs w:val="24"/>
          <w:lang w:val="en-GB"/>
        </w:rPr>
        <w:t xml:space="preserve"> Brazil</w:t>
      </w:r>
      <w:r w:rsidR="0003050E" w:rsidRPr="00D9330B">
        <w:rPr>
          <w:rFonts w:ascii="Times New Roman" w:hAnsi="Times New Roman" w:cs="Times New Roman"/>
          <w:sz w:val="24"/>
          <w:szCs w:val="24"/>
          <w:lang w:val="en-GB"/>
        </w:rPr>
        <w:t xml:space="preserve"> became the most heavily taxed country in the region</w:t>
      </w:r>
      <w:r w:rsidR="00B87FD3" w:rsidRPr="00D9330B">
        <w:rPr>
          <w:rFonts w:ascii="Times New Roman" w:hAnsi="Times New Roman" w:cs="Times New Roman"/>
          <w:sz w:val="24"/>
          <w:szCs w:val="24"/>
          <w:lang w:val="en-GB"/>
        </w:rPr>
        <w:t xml:space="preserve"> by </w:t>
      </w:r>
      <w:r w:rsidR="000F514B" w:rsidRPr="00D9330B">
        <w:rPr>
          <w:rFonts w:ascii="Times New Roman" w:hAnsi="Times New Roman" w:cs="Times New Roman"/>
          <w:sz w:val="24"/>
          <w:szCs w:val="24"/>
          <w:lang w:val="en-GB"/>
        </w:rPr>
        <w:t xml:space="preserve">the </w:t>
      </w:r>
      <w:r w:rsidR="00B87FD3" w:rsidRPr="00D9330B">
        <w:rPr>
          <w:rFonts w:ascii="Times New Roman" w:hAnsi="Times New Roman" w:cs="Times New Roman"/>
          <w:sz w:val="24"/>
          <w:szCs w:val="24"/>
          <w:lang w:val="en-GB"/>
        </w:rPr>
        <w:t>early 1980s</w:t>
      </w:r>
      <w:r w:rsidR="00AC6128">
        <w:rPr>
          <w:rFonts w:ascii="Times New Roman" w:hAnsi="Times New Roman" w:cs="Times New Roman"/>
          <w:sz w:val="24"/>
          <w:szCs w:val="24"/>
          <w:lang w:val="en-GB"/>
        </w:rPr>
        <w:t>, gradually surpassing each of the three Southern Cones countries,</w:t>
      </w:r>
      <w:r w:rsidR="00B87FD3" w:rsidRPr="00D9330B">
        <w:rPr>
          <w:rFonts w:ascii="Times New Roman" w:hAnsi="Times New Roman" w:cs="Times New Roman"/>
          <w:sz w:val="24"/>
          <w:szCs w:val="24"/>
          <w:lang w:val="en-GB"/>
        </w:rPr>
        <w:t xml:space="preserve"> and how</w:t>
      </w:r>
      <w:r w:rsidR="00412BE9" w:rsidRPr="00D9330B">
        <w:rPr>
          <w:rFonts w:ascii="Times New Roman" w:hAnsi="Times New Roman" w:cs="Times New Roman"/>
          <w:sz w:val="24"/>
          <w:szCs w:val="24"/>
          <w:lang w:val="en-GB"/>
        </w:rPr>
        <w:t xml:space="preserve"> it</w:t>
      </w:r>
      <w:r w:rsidR="0054012A" w:rsidRPr="00D9330B">
        <w:rPr>
          <w:rFonts w:ascii="Times New Roman" w:hAnsi="Times New Roman" w:cs="Times New Roman"/>
          <w:sz w:val="24"/>
          <w:szCs w:val="24"/>
          <w:lang w:val="en-GB"/>
        </w:rPr>
        <w:t xml:space="preserve"> has</w:t>
      </w:r>
      <w:r w:rsidR="000A45B2" w:rsidRPr="00D9330B">
        <w:rPr>
          <w:rFonts w:ascii="Times New Roman" w:hAnsi="Times New Roman" w:cs="Times New Roman"/>
          <w:sz w:val="24"/>
          <w:szCs w:val="24"/>
          <w:lang w:val="en-GB"/>
        </w:rPr>
        <w:t xml:space="preserve"> maintain</w:t>
      </w:r>
      <w:r w:rsidR="00ED5112" w:rsidRPr="00D9330B">
        <w:rPr>
          <w:rFonts w:ascii="Times New Roman" w:hAnsi="Times New Roman" w:cs="Times New Roman"/>
          <w:sz w:val="24"/>
          <w:szCs w:val="24"/>
          <w:lang w:val="en-GB"/>
        </w:rPr>
        <w:t>ed</w:t>
      </w:r>
      <w:r w:rsidR="000A45B2" w:rsidRPr="00D9330B">
        <w:rPr>
          <w:rFonts w:ascii="Times New Roman" w:hAnsi="Times New Roman" w:cs="Times New Roman"/>
          <w:sz w:val="24"/>
          <w:szCs w:val="24"/>
          <w:lang w:val="en-GB"/>
        </w:rPr>
        <w:t xml:space="preserve"> that status</w:t>
      </w:r>
      <w:r w:rsidR="006B318E">
        <w:rPr>
          <w:rFonts w:ascii="Times New Roman" w:hAnsi="Times New Roman" w:cs="Times New Roman"/>
          <w:sz w:val="24"/>
          <w:szCs w:val="24"/>
          <w:lang w:val="en-GB"/>
        </w:rPr>
        <w:t xml:space="preserve"> during the subsequent three decades</w:t>
      </w:r>
      <w:r w:rsidR="00A110A1" w:rsidRPr="00D9330B">
        <w:rPr>
          <w:rFonts w:ascii="Times New Roman" w:hAnsi="Times New Roman" w:cs="Times New Roman"/>
          <w:sz w:val="24"/>
          <w:szCs w:val="24"/>
          <w:lang w:val="en-GB"/>
        </w:rPr>
        <w:t xml:space="preserve">. </w:t>
      </w:r>
      <w:r w:rsidR="001273DD" w:rsidRPr="00D9330B">
        <w:rPr>
          <w:rFonts w:ascii="Times New Roman" w:hAnsi="Times New Roman" w:cs="Times New Roman"/>
          <w:sz w:val="24"/>
          <w:szCs w:val="24"/>
          <w:lang w:val="en-GB"/>
        </w:rPr>
        <w:t>The present</w:t>
      </w:r>
      <w:r w:rsidR="008710C1" w:rsidRPr="00D9330B">
        <w:rPr>
          <w:rFonts w:ascii="Times New Roman" w:hAnsi="Times New Roman" w:cs="Times New Roman"/>
          <w:sz w:val="24"/>
          <w:szCs w:val="24"/>
          <w:lang w:val="en-GB"/>
        </w:rPr>
        <w:t xml:space="preserve"> section focuses on</w:t>
      </w:r>
      <w:r w:rsidR="00626499">
        <w:rPr>
          <w:rFonts w:ascii="Times New Roman" w:hAnsi="Times New Roman" w:cs="Times New Roman"/>
          <w:sz w:val="24"/>
          <w:szCs w:val="24"/>
          <w:lang w:val="en-GB"/>
        </w:rPr>
        <w:t xml:space="preserve"> answering</w:t>
      </w:r>
      <w:r w:rsidR="008710C1" w:rsidRPr="00D9330B">
        <w:rPr>
          <w:rFonts w:ascii="Times New Roman" w:hAnsi="Times New Roman" w:cs="Times New Roman"/>
          <w:sz w:val="24"/>
          <w:szCs w:val="24"/>
          <w:lang w:val="en-GB"/>
        </w:rPr>
        <w:t xml:space="preserve"> </w:t>
      </w:r>
      <w:r w:rsidR="00AC6128">
        <w:rPr>
          <w:rFonts w:ascii="Times New Roman" w:hAnsi="Times New Roman" w:cs="Times New Roman"/>
          <w:sz w:val="24"/>
          <w:szCs w:val="24"/>
          <w:lang w:val="en-GB"/>
        </w:rPr>
        <w:t>the first of t</w:t>
      </w:r>
      <w:r w:rsidR="00293DA4">
        <w:rPr>
          <w:rFonts w:ascii="Times New Roman" w:hAnsi="Times New Roman" w:cs="Times New Roman"/>
          <w:sz w:val="24"/>
          <w:szCs w:val="24"/>
          <w:lang w:val="en-GB"/>
        </w:rPr>
        <w:t>hese questions, while the next one</w:t>
      </w:r>
      <w:r w:rsidR="00AC6128">
        <w:rPr>
          <w:rFonts w:ascii="Times New Roman" w:hAnsi="Times New Roman" w:cs="Times New Roman"/>
          <w:sz w:val="24"/>
          <w:szCs w:val="24"/>
          <w:lang w:val="en-GB"/>
        </w:rPr>
        <w:t xml:space="preserve"> addresses the second.</w:t>
      </w:r>
    </w:p>
    <w:p w:rsidR="00BF5E86" w:rsidRPr="00D9330B" w:rsidRDefault="0087133F" w:rsidP="00557FAC">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The</w:t>
      </w:r>
      <w:r w:rsidR="00997750" w:rsidRPr="00D9330B">
        <w:rPr>
          <w:rFonts w:ascii="Times New Roman" w:hAnsi="Times New Roman" w:cs="Times New Roman"/>
          <w:sz w:val="24"/>
          <w:szCs w:val="24"/>
          <w:lang w:val="en-GB"/>
        </w:rPr>
        <w:t xml:space="preserve"> argument offered in both sections</w:t>
      </w:r>
      <w:r w:rsidR="00B87FD3" w:rsidRPr="00D9330B">
        <w:rPr>
          <w:rFonts w:ascii="Times New Roman" w:hAnsi="Times New Roman" w:cs="Times New Roman"/>
          <w:sz w:val="24"/>
          <w:szCs w:val="24"/>
          <w:lang w:val="en-GB"/>
        </w:rPr>
        <w:t xml:space="preserve"> stresses</w:t>
      </w:r>
      <w:r w:rsidR="000B0C2B" w:rsidRPr="00D9330B">
        <w:rPr>
          <w:rFonts w:ascii="Times New Roman" w:hAnsi="Times New Roman" w:cs="Times New Roman"/>
          <w:sz w:val="24"/>
          <w:szCs w:val="24"/>
          <w:lang w:val="en-GB"/>
        </w:rPr>
        <w:t xml:space="preserve"> the interaction between the soc</w:t>
      </w:r>
      <w:r w:rsidR="005938F7" w:rsidRPr="00D9330B">
        <w:rPr>
          <w:rFonts w:ascii="Times New Roman" w:hAnsi="Times New Roman" w:cs="Times New Roman"/>
          <w:sz w:val="24"/>
          <w:szCs w:val="24"/>
          <w:lang w:val="en-GB"/>
        </w:rPr>
        <w:t>ial class basis</w:t>
      </w:r>
      <w:r w:rsidR="000B0C2B" w:rsidRPr="00D9330B">
        <w:rPr>
          <w:rFonts w:ascii="Times New Roman" w:hAnsi="Times New Roman" w:cs="Times New Roman"/>
          <w:sz w:val="24"/>
          <w:szCs w:val="24"/>
          <w:lang w:val="en-GB"/>
        </w:rPr>
        <w:t xml:space="preserve"> of state expansion </w:t>
      </w:r>
      <w:r w:rsidR="00E42D11" w:rsidRPr="00D9330B">
        <w:rPr>
          <w:rFonts w:ascii="Times New Roman" w:hAnsi="Times New Roman" w:cs="Times New Roman"/>
          <w:sz w:val="24"/>
          <w:szCs w:val="24"/>
          <w:lang w:val="en-GB"/>
        </w:rPr>
        <w:t>and</w:t>
      </w:r>
      <w:r w:rsidR="00997750" w:rsidRPr="00D9330B">
        <w:rPr>
          <w:rFonts w:ascii="Times New Roman" w:hAnsi="Times New Roman" w:cs="Times New Roman"/>
          <w:sz w:val="24"/>
          <w:szCs w:val="24"/>
          <w:lang w:val="en-GB"/>
        </w:rPr>
        <w:t xml:space="preserve"> the value attached t</w:t>
      </w:r>
      <w:r w:rsidR="00E42D11" w:rsidRPr="00D9330B">
        <w:rPr>
          <w:rFonts w:ascii="Times New Roman" w:hAnsi="Times New Roman" w:cs="Times New Roman"/>
          <w:sz w:val="24"/>
          <w:szCs w:val="24"/>
          <w:lang w:val="en-GB"/>
        </w:rPr>
        <w:t>o democracy among key political actors</w:t>
      </w:r>
      <w:r w:rsidR="000B0C2B" w:rsidRPr="00D9330B">
        <w:rPr>
          <w:rFonts w:ascii="Times New Roman" w:hAnsi="Times New Roman" w:cs="Times New Roman"/>
          <w:sz w:val="24"/>
          <w:szCs w:val="24"/>
          <w:lang w:val="en-GB"/>
        </w:rPr>
        <w:t xml:space="preserve">. </w:t>
      </w:r>
      <w:r w:rsidR="00DC669F" w:rsidRPr="00D9330B">
        <w:rPr>
          <w:rFonts w:ascii="Times New Roman" w:hAnsi="Times New Roman" w:cs="Times New Roman"/>
          <w:sz w:val="24"/>
          <w:szCs w:val="24"/>
          <w:lang w:val="en-GB"/>
        </w:rPr>
        <w:t>The source of</w:t>
      </w:r>
      <w:r w:rsidR="00997750" w:rsidRPr="00D9330B">
        <w:rPr>
          <w:rFonts w:ascii="Times New Roman" w:hAnsi="Times New Roman" w:cs="Times New Roman"/>
          <w:sz w:val="24"/>
          <w:szCs w:val="24"/>
          <w:lang w:val="en-GB"/>
        </w:rPr>
        <w:t xml:space="preserve"> support</w:t>
      </w:r>
      <w:r w:rsidR="00534D51" w:rsidRPr="00D9330B">
        <w:rPr>
          <w:rFonts w:ascii="Times New Roman" w:hAnsi="Times New Roman" w:cs="Times New Roman"/>
          <w:sz w:val="24"/>
          <w:szCs w:val="24"/>
          <w:lang w:val="en-GB"/>
        </w:rPr>
        <w:t xml:space="preserve"> for public sector growth</w:t>
      </w:r>
      <w:r w:rsidR="00557FAC" w:rsidRPr="00D9330B">
        <w:rPr>
          <w:rFonts w:ascii="Times New Roman" w:hAnsi="Times New Roman" w:cs="Times New Roman"/>
          <w:sz w:val="24"/>
          <w:szCs w:val="24"/>
          <w:lang w:val="en-GB"/>
        </w:rPr>
        <w:t xml:space="preserve"> is important because it shapes the character o</w:t>
      </w:r>
      <w:r w:rsidR="00941B99" w:rsidRPr="00D9330B">
        <w:rPr>
          <w:rFonts w:ascii="Times New Roman" w:hAnsi="Times New Roman" w:cs="Times New Roman"/>
          <w:sz w:val="24"/>
          <w:szCs w:val="24"/>
          <w:lang w:val="en-GB"/>
        </w:rPr>
        <w:t>f taxation and spending</w:t>
      </w:r>
      <w:r w:rsidR="00557FAC" w:rsidRPr="00D9330B">
        <w:rPr>
          <w:rFonts w:ascii="Times New Roman" w:hAnsi="Times New Roman" w:cs="Times New Roman"/>
          <w:sz w:val="24"/>
          <w:szCs w:val="24"/>
          <w:lang w:val="en-GB"/>
        </w:rPr>
        <w:t xml:space="preserve"> and thus the distribution of benefits from state action. When pressure co</w:t>
      </w:r>
      <w:r w:rsidR="00C93110" w:rsidRPr="00D9330B">
        <w:rPr>
          <w:rFonts w:ascii="Times New Roman" w:hAnsi="Times New Roman" w:cs="Times New Roman"/>
          <w:sz w:val="24"/>
          <w:szCs w:val="24"/>
          <w:lang w:val="en-GB"/>
        </w:rPr>
        <w:t>mes mainly from popular sectors</w:t>
      </w:r>
      <w:r w:rsidR="00557FAC" w:rsidRPr="00D9330B">
        <w:rPr>
          <w:rFonts w:ascii="Times New Roman" w:hAnsi="Times New Roman" w:cs="Times New Roman"/>
          <w:sz w:val="24"/>
          <w:szCs w:val="24"/>
          <w:lang w:val="en-GB"/>
        </w:rPr>
        <w:t xml:space="preserve"> </w:t>
      </w:r>
      <w:r w:rsidR="00C93110" w:rsidRPr="00D9330B">
        <w:rPr>
          <w:rFonts w:ascii="Times New Roman" w:hAnsi="Times New Roman" w:cs="Times New Roman"/>
          <w:sz w:val="24"/>
          <w:szCs w:val="24"/>
          <w:lang w:val="en-GB"/>
        </w:rPr>
        <w:t>the resulting policies are likely to contradict</w:t>
      </w:r>
      <w:r w:rsidR="00243038" w:rsidRPr="00D9330B">
        <w:rPr>
          <w:rFonts w:ascii="Times New Roman" w:hAnsi="Times New Roman" w:cs="Times New Roman"/>
          <w:sz w:val="24"/>
          <w:szCs w:val="24"/>
          <w:lang w:val="en-GB"/>
        </w:rPr>
        <w:t xml:space="preserve"> elite interests</w:t>
      </w:r>
      <w:r w:rsidR="007453D6">
        <w:rPr>
          <w:rFonts w:ascii="Times New Roman" w:hAnsi="Times New Roman" w:cs="Times New Roman"/>
          <w:sz w:val="24"/>
          <w:szCs w:val="24"/>
          <w:lang w:val="en-GB"/>
        </w:rPr>
        <w:t xml:space="preserve"> by prioritis</w:t>
      </w:r>
      <w:r w:rsidR="00997750" w:rsidRPr="00D9330B">
        <w:rPr>
          <w:rFonts w:ascii="Times New Roman" w:hAnsi="Times New Roman" w:cs="Times New Roman"/>
          <w:sz w:val="24"/>
          <w:szCs w:val="24"/>
          <w:lang w:val="en-GB"/>
        </w:rPr>
        <w:t>ing redistribution (at least towards more o</w:t>
      </w:r>
      <w:r w:rsidR="00E76E7D" w:rsidRPr="00D9330B">
        <w:rPr>
          <w:rFonts w:ascii="Times New Roman" w:hAnsi="Times New Roman" w:cs="Times New Roman"/>
          <w:sz w:val="24"/>
          <w:szCs w:val="24"/>
          <w:lang w:val="en-GB"/>
        </w:rPr>
        <w:t>rganis</w:t>
      </w:r>
      <w:r w:rsidR="00997750" w:rsidRPr="00D9330B">
        <w:rPr>
          <w:rFonts w:ascii="Times New Roman" w:hAnsi="Times New Roman" w:cs="Times New Roman"/>
          <w:sz w:val="24"/>
          <w:szCs w:val="24"/>
          <w:lang w:val="en-GB"/>
        </w:rPr>
        <w:t>ed</w:t>
      </w:r>
      <w:r w:rsidR="00740AC0" w:rsidRPr="00D9330B">
        <w:rPr>
          <w:rFonts w:ascii="Times New Roman" w:hAnsi="Times New Roman" w:cs="Times New Roman"/>
          <w:sz w:val="24"/>
          <w:szCs w:val="24"/>
          <w:lang w:val="en-GB"/>
        </w:rPr>
        <w:t xml:space="preserve"> and politically savvy</w:t>
      </w:r>
      <w:r w:rsidR="00534D51" w:rsidRPr="00D9330B">
        <w:rPr>
          <w:rFonts w:ascii="Times New Roman" w:hAnsi="Times New Roman" w:cs="Times New Roman"/>
          <w:sz w:val="24"/>
          <w:szCs w:val="24"/>
          <w:lang w:val="en-GB"/>
        </w:rPr>
        <w:t xml:space="preserve"> groups) over</w:t>
      </w:r>
      <w:r w:rsidR="00997750" w:rsidRPr="00D9330B">
        <w:rPr>
          <w:rFonts w:ascii="Times New Roman" w:hAnsi="Times New Roman" w:cs="Times New Roman"/>
          <w:sz w:val="24"/>
          <w:szCs w:val="24"/>
          <w:lang w:val="en-GB"/>
        </w:rPr>
        <w:t xml:space="preserve"> accumulation. In contrast, whe</w:t>
      </w:r>
      <w:r w:rsidR="00C93110" w:rsidRPr="00D9330B">
        <w:rPr>
          <w:rFonts w:ascii="Times New Roman" w:hAnsi="Times New Roman" w:cs="Times New Roman"/>
          <w:sz w:val="24"/>
          <w:szCs w:val="24"/>
          <w:lang w:val="en-GB"/>
        </w:rPr>
        <w:t>n the impetus</w:t>
      </w:r>
      <w:r w:rsidR="005842C1" w:rsidRPr="00D9330B">
        <w:rPr>
          <w:rFonts w:ascii="Times New Roman" w:hAnsi="Times New Roman" w:cs="Times New Roman"/>
          <w:sz w:val="24"/>
          <w:szCs w:val="24"/>
          <w:lang w:val="en-GB"/>
        </w:rPr>
        <w:t xml:space="preserve"> comes from</w:t>
      </w:r>
      <w:r w:rsidR="00997750" w:rsidRPr="00D9330B">
        <w:rPr>
          <w:rFonts w:ascii="Times New Roman" w:hAnsi="Times New Roman" w:cs="Times New Roman"/>
          <w:sz w:val="24"/>
          <w:szCs w:val="24"/>
          <w:lang w:val="en-GB"/>
        </w:rPr>
        <w:t xml:space="preserve"> </w:t>
      </w:r>
      <w:r w:rsidR="003D3114">
        <w:rPr>
          <w:rFonts w:ascii="Times New Roman" w:hAnsi="Times New Roman" w:cs="Times New Roman"/>
          <w:sz w:val="24"/>
          <w:szCs w:val="24"/>
          <w:lang w:val="en-GB"/>
        </w:rPr>
        <w:t xml:space="preserve">economic </w:t>
      </w:r>
      <w:r w:rsidR="00997750" w:rsidRPr="00D9330B">
        <w:rPr>
          <w:rFonts w:ascii="Times New Roman" w:hAnsi="Times New Roman" w:cs="Times New Roman"/>
          <w:sz w:val="24"/>
          <w:szCs w:val="24"/>
          <w:lang w:val="en-GB"/>
        </w:rPr>
        <w:t>elite</w:t>
      </w:r>
      <w:r w:rsidR="005842C1" w:rsidRPr="00D9330B">
        <w:rPr>
          <w:rFonts w:ascii="Times New Roman" w:hAnsi="Times New Roman" w:cs="Times New Roman"/>
          <w:sz w:val="24"/>
          <w:szCs w:val="24"/>
          <w:lang w:val="en-GB"/>
        </w:rPr>
        <w:t>s</w:t>
      </w:r>
      <w:r w:rsidR="00C93110" w:rsidRPr="00D9330B">
        <w:rPr>
          <w:rFonts w:ascii="Times New Roman" w:hAnsi="Times New Roman" w:cs="Times New Roman"/>
          <w:sz w:val="24"/>
          <w:szCs w:val="24"/>
          <w:lang w:val="en-GB"/>
        </w:rPr>
        <w:t>,</w:t>
      </w:r>
      <w:r w:rsidR="003D3114">
        <w:rPr>
          <w:rFonts w:ascii="Times New Roman" w:hAnsi="Times New Roman" w:cs="Times New Roman"/>
          <w:sz w:val="24"/>
          <w:szCs w:val="24"/>
          <w:lang w:val="en-GB"/>
        </w:rPr>
        <w:t xml:space="preserve"> or political elites closely tied to them,</w:t>
      </w:r>
      <w:r w:rsidR="00997750" w:rsidRPr="00D9330B">
        <w:rPr>
          <w:rFonts w:ascii="Times New Roman" w:hAnsi="Times New Roman" w:cs="Times New Roman"/>
          <w:sz w:val="24"/>
          <w:szCs w:val="24"/>
          <w:lang w:val="en-GB"/>
        </w:rPr>
        <w:t xml:space="preserve"> policies are likely to favour profits and investment. The strength of pro-democracy norms is significant because it affec</w:t>
      </w:r>
      <w:r w:rsidR="00F3366C" w:rsidRPr="00D9330B">
        <w:rPr>
          <w:rFonts w:ascii="Times New Roman" w:hAnsi="Times New Roman" w:cs="Times New Roman"/>
          <w:sz w:val="24"/>
          <w:szCs w:val="24"/>
          <w:lang w:val="en-GB"/>
        </w:rPr>
        <w:t>ts the likelihood that eco</w:t>
      </w:r>
      <w:r w:rsidR="00085B67" w:rsidRPr="00D9330B">
        <w:rPr>
          <w:rFonts w:ascii="Times New Roman" w:hAnsi="Times New Roman" w:cs="Times New Roman"/>
          <w:sz w:val="24"/>
          <w:szCs w:val="24"/>
          <w:lang w:val="en-GB"/>
        </w:rPr>
        <w:t>nomic elites and their</w:t>
      </w:r>
      <w:r w:rsidR="00F3366C" w:rsidRPr="00D9330B">
        <w:rPr>
          <w:rFonts w:ascii="Times New Roman" w:hAnsi="Times New Roman" w:cs="Times New Roman"/>
          <w:sz w:val="24"/>
          <w:szCs w:val="24"/>
          <w:lang w:val="en-GB"/>
        </w:rPr>
        <w:t xml:space="preserve"> allies</w:t>
      </w:r>
      <w:r w:rsidR="00BF5E86" w:rsidRPr="00D9330B">
        <w:rPr>
          <w:rFonts w:ascii="Times New Roman" w:hAnsi="Times New Roman" w:cs="Times New Roman"/>
          <w:sz w:val="24"/>
          <w:szCs w:val="24"/>
          <w:lang w:val="en-GB"/>
        </w:rPr>
        <w:t xml:space="preserve"> will respond to adve</w:t>
      </w:r>
      <w:r w:rsidR="00F3366C" w:rsidRPr="00D9330B">
        <w:rPr>
          <w:rFonts w:ascii="Times New Roman" w:hAnsi="Times New Roman" w:cs="Times New Roman"/>
          <w:sz w:val="24"/>
          <w:szCs w:val="24"/>
          <w:lang w:val="en-GB"/>
        </w:rPr>
        <w:t xml:space="preserve">rse situations by </w:t>
      </w:r>
      <w:r w:rsidR="00BF5E86" w:rsidRPr="00D9330B">
        <w:rPr>
          <w:rFonts w:ascii="Times New Roman" w:hAnsi="Times New Roman" w:cs="Times New Roman"/>
          <w:sz w:val="24"/>
          <w:szCs w:val="24"/>
          <w:lang w:val="en-GB"/>
        </w:rPr>
        <w:t>engineer</w:t>
      </w:r>
      <w:r w:rsidR="00F3366C" w:rsidRPr="00D9330B">
        <w:rPr>
          <w:rFonts w:ascii="Times New Roman" w:hAnsi="Times New Roman" w:cs="Times New Roman"/>
          <w:sz w:val="24"/>
          <w:szCs w:val="24"/>
          <w:lang w:val="en-GB"/>
        </w:rPr>
        <w:t>ing</w:t>
      </w:r>
      <w:r w:rsidR="00BF5E86" w:rsidRPr="00D9330B">
        <w:rPr>
          <w:rFonts w:ascii="Times New Roman" w:hAnsi="Times New Roman" w:cs="Times New Roman"/>
          <w:sz w:val="24"/>
          <w:szCs w:val="24"/>
          <w:lang w:val="en-GB"/>
        </w:rPr>
        <w:t xml:space="preserve"> a transition away from democracy</w:t>
      </w:r>
      <w:r w:rsidR="007A7CD0" w:rsidRPr="00D9330B">
        <w:rPr>
          <w:rFonts w:ascii="Times New Roman" w:hAnsi="Times New Roman" w:cs="Times New Roman"/>
          <w:sz w:val="24"/>
          <w:szCs w:val="24"/>
          <w:lang w:val="en-GB"/>
        </w:rPr>
        <w:t xml:space="preserve"> that helps them</w:t>
      </w:r>
      <w:r w:rsidR="00F3366C" w:rsidRPr="00D9330B">
        <w:rPr>
          <w:rFonts w:ascii="Times New Roman" w:hAnsi="Times New Roman" w:cs="Times New Roman"/>
          <w:sz w:val="24"/>
          <w:szCs w:val="24"/>
          <w:lang w:val="en-GB"/>
        </w:rPr>
        <w:t xml:space="preserve"> impose their</w:t>
      </w:r>
      <w:r w:rsidR="00534D51" w:rsidRPr="00D9330B">
        <w:rPr>
          <w:rFonts w:ascii="Times New Roman" w:hAnsi="Times New Roman" w:cs="Times New Roman"/>
          <w:sz w:val="24"/>
          <w:szCs w:val="24"/>
          <w:lang w:val="en-GB"/>
        </w:rPr>
        <w:t xml:space="preserve"> own</w:t>
      </w:r>
      <w:r w:rsidR="00F3366C" w:rsidRPr="00D9330B">
        <w:rPr>
          <w:rFonts w:ascii="Times New Roman" w:hAnsi="Times New Roman" w:cs="Times New Roman"/>
          <w:sz w:val="24"/>
          <w:szCs w:val="24"/>
          <w:lang w:val="en-GB"/>
        </w:rPr>
        <w:t xml:space="preserve"> policy preferences</w:t>
      </w:r>
      <w:r w:rsidR="00BF5E86" w:rsidRPr="00D9330B">
        <w:rPr>
          <w:rFonts w:ascii="Times New Roman" w:hAnsi="Times New Roman" w:cs="Times New Roman"/>
          <w:sz w:val="24"/>
          <w:szCs w:val="24"/>
          <w:lang w:val="en-GB"/>
        </w:rPr>
        <w:t>.</w:t>
      </w:r>
    </w:p>
    <w:p w:rsidR="00B12247" w:rsidRPr="00D9330B" w:rsidRDefault="00BF5E86" w:rsidP="00557FAC">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ab/>
      </w:r>
      <w:r w:rsidR="00F3366C" w:rsidRPr="00D9330B">
        <w:rPr>
          <w:rFonts w:ascii="Times New Roman" w:hAnsi="Times New Roman" w:cs="Times New Roman"/>
          <w:sz w:val="24"/>
          <w:szCs w:val="24"/>
          <w:lang w:val="en-GB"/>
        </w:rPr>
        <w:t xml:space="preserve">The argument crafted in this section is that Brazil’s tax burden surpassed those of the Southern Cone countries </w:t>
      </w:r>
      <w:r w:rsidR="00B87FD3" w:rsidRPr="00D9330B">
        <w:rPr>
          <w:rFonts w:ascii="Times New Roman" w:hAnsi="Times New Roman" w:cs="Times New Roman"/>
          <w:sz w:val="24"/>
          <w:szCs w:val="24"/>
          <w:lang w:val="en-GB"/>
        </w:rPr>
        <w:t>between 1950 and 1980 because</w:t>
      </w:r>
      <w:r w:rsidRPr="00D9330B">
        <w:rPr>
          <w:rFonts w:ascii="Times New Roman" w:hAnsi="Times New Roman" w:cs="Times New Roman"/>
          <w:sz w:val="24"/>
          <w:szCs w:val="24"/>
          <w:lang w:val="en-GB"/>
        </w:rPr>
        <w:t xml:space="preserve"> the expansion of the </w:t>
      </w:r>
      <w:r w:rsidR="00F3366C" w:rsidRPr="00D9330B">
        <w:rPr>
          <w:rFonts w:ascii="Times New Roman" w:hAnsi="Times New Roman" w:cs="Times New Roman"/>
          <w:sz w:val="24"/>
          <w:szCs w:val="24"/>
          <w:lang w:val="en-GB"/>
        </w:rPr>
        <w:t>state</w:t>
      </w:r>
      <w:r w:rsidR="007A7CD0" w:rsidRPr="00D9330B">
        <w:rPr>
          <w:rFonts w:ascii="Times New Roman" w:hAnsi="Times New Roman" w:cs="Times New Roman"/>
          <w:sz w:val="24"/>
          <w:szCs w:val="24"/>
          <w:lang w:val="en-GB"/>
        </w:rPr>
        <w:t xml:space="preserve"> in the former</w:t>
      </w:r>
      <w:r w:rsidR="0021322E" w:rsidRPr="00D9330B">
        <w:rPr>
          <w:rFonts w:ascii="Times New Roman" w:hAnsi="Times New Roman" w:cs="Times New Roman"/>
          <w:sz w:val="24"/>
          <w:szCs w:val="24"/>
          <w:lang w:val="en-GB"/>
        </w:rPr>
        <w:t xml:space="preserve"> was driven</w:t>
      </w:r>
      <w:r w:rsidR="00F3366C" w:rsidRPr="00D9330B">
        <w:rPr>
          <w:rFonts w:ascii="Times New Roman" w:hAnsi="Times New Roman" w:cs="Times New Roman"/>
          <w:sz w:val="24"/>
          <w:szCs w:val="24"/>
          <w:lang w:val="en-GB"/>
        </w:rPr>
        <w:t xml:space="preserve"> less by pop</w:t>
      </w:r>
      <w:r w:rsidR="00A7773B">
        <w:rPr>
          <w:rFonts w:ascii="Times New Roman" w:hAnsi="Times New Roman" w:cs="Times New Roman"/>
          <w:sz w:val="24"/>
          <w:szCs w:val="24"/>
          <w:lang w:val="en-GB"/>
        </w:rPr>
        <w:t>u</w:t>
      </w:r>
      <w:r w:rsidR="00F3366C" w:rsidRPr="00D9330B">
        <w:rPr>
          <w:rFonts w:ascii="Times New Roman" w:hAnsi="Times New Roman" w:cs="Times New Roman"/>
          <w:sz w:val="24"/>
          <w:szCs w:val="24"/>
          <w:lang w:val="en-GB"/>
        </w:rPr>
        <w:t>lar pressures and more by the economic elite’s</w:t>
      </w:r>
      <w:r w:rsidR="001C58D3" w:rsidRPr="00D9330B">
        <w:rPr>
          <w:rFonts w:ascii="Times New Roman" w:hAnsi="Times New Roman" w:cs="Times New Roman"/>
          <w:sz w:val="24"/>
          <w:szCs w:val="24"/>
          <w:lang w:val="en-GB"/>
        </w:rPr>
        <w:t xml:space="preserve"> own support for </w:t>
      </w:r>
      <w:r w:rsidR="0021322E" w:rsidRPr="00D9330B">
        <w:rPr>
          <w:rFonts w:ascii="Times New Roman" w:hAnsi="Times New Roman" w:cs="Times New Roman"/>
          <w:sz w:val="24"/>
          <w:szCs w:val="24"/>
          <w:lang w:val="en-GB"/>
        </w:rPr>
        <w:t>state-led</w:t>
      </w:r>
      <w:r w:rsidR="001C58D3" w:rsidRPr="00D9330B">
        <w:rPr>
          <w:rFonts w:ascii="Times New Roman" w:hAnsi="Times New Roman" w:cs="Times New Roman"/>
          <w:sz w:val="24"/>
          <w:szCs w:val="24"/>
          <w:lang w:val="en-GB"/>
        </w:rPr>
        <w:t xml:space="preserve"> development</w:t>
      </w:r>
      <w:r w:rsidRPr="00D9330B">
        <w:rPr>
          <w:rFonts w:ascii="Times New Roman" w:hAnsi="Times New Roman" w:cs="Times New Roman"/>
          <w:sz w:val="24"/>
          <w:szCs w:val="24"/>
          <w:lang w:val="en-GB"/>
        </w:rPr>
        <w:t>.</w:t>
      </w:r>
      <w:r w:rsidR="00F3366C" w:rsidRPr="00D9330B">
        <w:rPr>
          <w:rFonts w:ascii="Times New Roman" w:hAnsi="Times New Roman" w:cs="Times New Roman"/>
          <w:sz w:val="24"/>
          <w:szCs w:val="24"/>
          <w:lang w:val="en-GB"/>
        </w:rPr>
        <w:t xml:space="preserve"> </w:t>
      </w:r>
      <w:r w:rsidR="00B12247" w:rsidRPr="00D9330B">
        <w:rPr>
          <w:rFonts w:ascii="Times New Roman" w:hAnsi="Times New Roman" w:cs="Times New Roman"/>
          <w:sz w:val="24"/>
          <w:szCs w:val="24"/>
          <w:lang w:val="en-GB"/>
        </w:rPr>
        <w:t xml:space="preserve">As a result, Brazil’s business leaders and other conservatives were less inclined to view the state with hostility and to seek to reduce its role. </w:t>
      </w:r>
      <w:r w:rsidR="00CE50B5" w:rsidRPr="00D9330B">
        <w:rPr>
          <w:rFonts w:ascii="Times New Roman" w:hAnsi="Times New Roman" w:cs="Times New Roman"/>
          <w:sz w:val="24"/>
          <w:szCs w:val="24"/>
          <w:lang w:val="en-GB"/>
        </w:rPr>
        <w:t>This characteristic</w:t>
      </w:r>
      <w:r w:rsidR="00B12247" w:rsidRPr="00D9330B">
        <w:rPr>
          <w:rFonts w:ascii="Times New Roman" w:hAnsi="Times New Roman" w:cs="Times New Roman"/>
          <w:sz w:val="24"/>
          <w:szCs w:val="24"/>
          <w:lang w:val="en-GB"/>
        </w:rPr>
        <w:t xml:space="preserve"> was crucial</w:t>
      </w:r>
      <w:r w:rsidR="00B87FD3" w:rsidRPr="00D9330B">
        <w:rPr>
          <w:rFonts w:ascii="Times New Roman" w:hAnsi="Times New Roman" w:cs="Times New Roman"/>
          <w:sz w:val="24"/>
          <w:szCs w:val="24"/>
          <w:lang w:val="en-GB"/>
        </w:rPr>
        <w:t xml:space="preserve"> because</w:t>
      </w:r>
      <w:r w:rsidR="002127D6" w:rsidRPr="00D9330B">
        <w:rPr>
          <w:rFonts w:ascii="Times New Roman" w:hAnsi="Times New Roman" w:cs="Times New Roman"/>
          <w:sz w:val="24"/>
          <w:szCs w:val="24"/>
          <w:lang w:val="en-GB"/>
        </w:rPr>
        <w:t>,</w:t>
      </w:r>
      <w:r w:rsidR="00B335BF" w:rsidRPr="00D9330B">
        <w:rPr>
          <w:rFonts w:ascii="Times New Roman" w:hAnsi="Times New Roman" w:cs="Times New Roman"/>
          <w:sz w:val="24"/>
          <w:szCs w:val="24"/>
          <w:lang w:val="en-GB"/>
        </w:rPr>
        <w:t xml:space="preserve"> during these decades</w:t>
      </w:r>
      <w:r w:rsidR="002127D6" w:rsidRPr="00D9330B">
        <w:rPr>
          <w:rFonts w:ascii="Times New Roman" w:hAnsi="Times New Roman" w:cs="Times New Roman"/>
          <w:sz w:val="24"/>
          <w:szCs w:val="24"/>
          <w:lang w:val="en-GB"/>
        </w:rPr>
        <w:t>,</w:t>
      </w:r>
      <w:r w:rsidR="00B335BF" w:rsidRPr="00D9330B">
        <w:rPr>
          <w:rFonts w:ascii="Times New Roman" w:hAnsi="Times New Roman" w:cs="Times New Roman"/>
          <w:sz w:val="24"/>
          <w:szCs w:val="24"/>
          <w:lang w:val="en-GB"/>
        </w:rPr>
        <w:t xml:space="preserve"> the pr</w:t>
      </w:r>
      <w:r w:rsidR="00B12247" w:rsidRPr="00D9330B">
        <w:rPr>
          <w:rFonts w:ascii="Times New Roman" w:hAnsi="Times New Roman" w:cs="Times New Roman"/>
          <w:sz w:val="24"/>
          <w:szCs w:val="24"/>
          <w:lang w:val="en-GB"/>
        </w:rPr>
        <w:t>i</w:t>
      </w:r>
      <w:r w:rsidR="00B335BF" w:rsidRPr="00D9330B">
        <w:rPr>
          <w:rFonts w:ascii="Times New Roman" w:hAnsi="Times New Roman" w:cs="Times New Roman"/>
          <w:sz w:val="24"/>
          <w:szCs w:val="24"/>
          <w:lang w:val="en-GB"/>
        </w:rPr>
        <w:t xml:space="preserve">ority attached to preserving democracy in Latin America </w:t>
      </w:r>
      <w:r w:rsidR="00B335BF" w:rsidRPr="00D9330B">
        <w:rPr>
          <w:rFonts w:ascii="Times New Roman" w:hAnsi="Times New Roman" w:cs="Times New Roman"/>
          <w:sz w:val="24"/>
          <w:szCs w:val="24"/>
          <w:lang w:val="en-GB"/>
        </w:rPr>
        <w:lastRenderedPageBreak/>
        <w:t>among domestic</w:t>
      </w:r>
      <w:r w:rsidR="00E42D11" w:rsidRPr="00D9330B">
        <w:rPr>
          <w:rFonts w:ascii="Times New Roman" w:hAnsi="Times New Roman" w:cs="Times New Roman"/>
          <w:sz w:val="24"/>
          <w:szCs w:val="24"/>
          <w:lang w:val="en-GB"/>
        </w:rPr>
        <w:t xml:space="preserve"> political</w:t>
      </w:r>
      <w:r w:rsidR="00B335BF" w:rsidRPr="00D9330B">
        <w:rPr>
          <w:rFonts w:ascii="Times New Roman" w:hAnsi="Times New Roman" w:cs="Times New Roman"/>
          <w:sz w:val="24"/>
          <w:szCs w:val="24"/>
          <w:lang w:val="en-GB"/>
        </w:rPr>
        <w:t xml:space="preserve"> elites and fo</w:t>
      </w:r>
      <w:r w:rsidR="001C58D3" w:rsidRPr="00D9330B">
        <w:rPr>
          <w:rFonts w:ascii="Times New Roman" w:hAnsi="Times New Roman" w:cs="Times New Roman"/>
          <w:sz w:val="24"/>
          <w:szCs w:val="24"/>
          <w:lang w:val="en-GB"/>
        </w:rPr>
        <w:t>reign actors was relatively low</w:t>
      </w:r>
      <w:r w:rsidR="00CE50B5" w:rsidRPr="00D9330B">
        <w:rPr>
          <w:rFonts w:ascii="Times New Roman" w:hAnsi="Times New Roman" w:cs="Times New Roman"/>
          <w:sz w:val="24"/>
          <w:szCs w:val="24"/>
          <w:lang w:val="en-GB"/>
        </w:rPr>
        <w:t xml:space="preserve">. The Cold War </w:t>
      </w:r>
      <w:r w:rsidR="008540C5" w:rsidRPr="00D9330B">
        <w:rPr>
          <w:rFonts w:ascii="Times New Roman" w:hAnsi="Times New Roman" w:cs="Times New Roman"/>
          <w:sz w:val="24"/>
          <w:szCs w:val="24"/>
          <w:lang w:val="en-GB"/>
        </w:rPr>
        <w:t>rivalry and its</w:t>
      </w:r>
      <w:r w:rsidR="00296957" w:rsidRPr="00D9330B">
        <w:rPr>
          <w:rFonts w:ascii="Times New Roman" w:hAnsi="Times New Roman" w:cs="Times New Roman"/>
          <w:sz w:val="24"/>
          <w:szCs w:val="24"/>
          <w:lang w:val="en-GB"/>
        </w:rPr>
        <w:t xml:space="preserve"> intensification after the</w:t>
      </w:r>
      <w:r w:rsidR="00CE50B5" w:rsidRPr="00D9330B">
        <w:rPr>
          <w:rFonts w:ascii="Times New Roman" w:hAnsi="Times New Roman" w:cs="Times New Roman"/>
          <w:sz w:val="24"/>
          <w:szCs w:val="24"/>
          <w:lang w:val="en-GB"/>
        </w:rPr>
        <w:t xml:space="preserve"> Cuban Revolution</w:t>
      </w:r>
      <w:r w:rsidR="00B13128" w:rsidRPr="00D9330B">
        <w:rPr>
          <w:rFonts w:ascii="Times New Roman" w:hAnsi="Times New Roman" w:cs="Times New Roman"/>
          <w:sz w:val="24"/>
          <w:szCs w:val="24"/>
          <w:lang w:val="en-GB"/>
        </w:rPr>
        <w:t xml:space="preserve"> meant that </w:t>
      </w:r>
      <w:r w:rsidR="0021322E" w:rsidRPr="00D9330B">
        <w:rPr>
          <w:rFonts w:ascii="Times New Roman" w:hAnsi="Times New Roman" w:cs="Times New Roman"/>
          <w:sz w:val="24"/>
          <w:szCs w:val="24"/>
          <w:lang w:val="en-GB"/>
        </w:rPr>
        <w:t>other objectives</w:t>
      </w:r>
      <w:r w:rsidR="004323C5" w:rsidRPr="00D9330B">
        <w:rPr>
          <w:rFonts w:ascii="Times New Roman" w:hAnsi="Times New Roman" w:cs="Times New Roman"/>
          <w:sz w:val="24"/>
          <w:szCs w:val="24"/>
          <w:lang w:val="en-GB"/>
        </w:rPr>
        <w:t>, including anti-communism,</w:t>
      </w:r>
      <w:r w:rsidR="0021322E" w:rsidRPr="00D9330B">
        <w:rPr>
          <w:rFonts w:ascii="Times New Roman" w:hAnsi="Times New Roman" w:cs="Times New Roman"/>
          <w:sz w:val="24"/>
          <w:szCs w:val="24"/>
          <w:lang w:val="en-GB"/>
        </w:rPr>
        <w:t xml:space="preserve"> took precedence.</w:t>
      </w:r>
      <w:r w:rsidR="0021322E" w:rsidRPr="00D9330B">
        <w:rPr>
          <w:rStyle w:val="FootnoteReference"/>
          <w:rFonts w:ascii="Times New Roman" w:hAnsi="Times New Roman" w:cs="Times New Roman"/>
          <w:sz w:val="24"/>
          <w:szCs w:val="24"/>
          <w:lang w:val="en-GB"/>
        </w:rPr>
        <w:footnoteReference w:id="62"/>
      </w:r>
      <w:r w:rsidR="0021322E" w:rsidRPr="00D9330B">
        <w:rPr>
          <w:rFonts w:ascii="Times New Roman" w:hAnsi="Times New Roman" w:cs="Times New Roman"/>
          <w:sz w:val="24"/>
          <w:szCs w:val="24"/>
          <w:lang w:val="en-GB"/>
        </w:rPr>
        <w:t xml:space="preserve"> Economi</w:t>
      </w:r>
      <w:r w:rsidR="001355DB" w:rsidRPr="00D9330B">
        <w:rPr>
          <w:rFonts w:ascii="Times New Roman" w:hAnsi="Times New Roman" w:cs="Times New Roman"/>
          <w:sz w:val="24"/>
          <w:szCs w:val="24"/>
          <w:lang w:val="en-GB"/>
        </w:rPr>
        <w:t>c or political crises could</w:t>
      </w:r>
      <w:r w:rsidR="007A7CD0" w:rsidRPr="00D9330B">
        <w:rPr>
          <w:rFonts w:ascii="Times New Roman" w:hAnsi="Times New Roman" w:cs="Times New Roman"/>
          <w:sz w:val="24"/>
          <w:szCs w:val="24"/>
          <w:lang w:val="en-GB"/>
        </w:rPr>
        <w:t xml:space="preserve"> relatively easily lead to a democratic breakdown</w:t>
      </w:r>
      <w:r w:rsidR="001C58D3" w:rsidRPr="00D9330B">
        <w:rPr>
          <w:rFonts w:ascii="Times New Roman" w:hAnsi="Times New Roman" w:cs="Times New Roman"/>
          <w:sz w:val="24"/>
          <w:szCs w:val="24"/>
          <w:lang w:val="en-GB"/>
        </w:rPr>
        <w:t>, which would in turn provide a favourable context for elites</w:t>
      </w:r>
      <w:r w:rsidR="002127D6" w:rsidRPr="00D9330B">
        <w:rPr>
          <w:rFonts w:ascii="Times New Roman" w:hAnsi="Times New Roman" w:cs="Times New Roman"/>
          <w:sz w:val="24"/>
          <w:szCs w:val="24"/>
          <w:lang w:val="en-GB"/>
        </w:rPr>
        <w:t xml:space="preserve"> to implement their favoured policies</w:t>
      </w:r>
      <w:r w:rsidR="001C58D3" w:rsidRPr="00D9330B">
        <w:rPr>
          <w:rFonts w:ascii="Times New Roman" w:hAnsi="Times New Roman" w:cs="Times New Roman"/>
          <w:sz w:val="24"/>
          <w:szCs w:val="24"/>
          <w:lang w:val="en-GB"/>
        </w:rPr>
        <w:t>.</w:t>
      </w:r>
      <w:r w:rsidR="00B12247" w:rsidRPr="00D9330B">
        <w:rPr>
          <w:rFonts w:ascii="Times New Roman" w:hAnsi="Times New Roman" w:cs="Times New Roman"/>
          <w:sz w:val="24"/>
          <w:szCs w:val="24"/>
          <w:lang w:val="en-GB"/>
        </w:rPr>
        <w:t xml:space="preserve"> </w:t>
      </w:r>
    </w:p>
    <w:p w:rsidR="004406B5" w:rsidRPr="00D9330B" w:rsidRDefault="00B12247" w:rsidP="00B12247">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 xml:space="preserve">Thus, </w:t>
      </w:r>
      <w:r w:rsidR="00CB63E6" w:rsidRPr="00D9330B">
        <w:rPr>
          <w:rFonts w:ascii="Times New Roman" w:hAnsi="Times New Roman" w:cs="Times New Roman"/>
          <w:sz w:val="24"/>
          <w:szCs w:val="24"/>
          <w:lang w:val="en-GB"/>
        </w:rPr>
        <w:t xml:space="preserve">although all four countries experienced periods of conservative military rule during this period, in Brazil the military regime sought to deepen state </w:t>
      </w:r>
      <w:r w:rsidRPr="00D9330B">
        <w:rPr>
          <w:rFonts w:ascii="Times New Roman" w:hAnsi="Times New Roman" w:cs="Times New Roman"/>
          <w:sz w:val="24"/>
          <w:szCs w:val="24"/>
          <w:lang w:val="en-GB"/>
        </w:rPr>
        <w:t xml:space="preserve">economic </w:t>
      </w:r>
      <w:r w:rsidR="00CB63E6" w:rsidRPr="00D9330B">
        <w:rPr>
          <w:rFonts w:ascii="Times New Roman" w:hAnsi="Times New Roman" w:cs="Times New Roman"/>
          <w:sz w:val="24"/>
          <w:szCs w:val="24"/>
          <w:lang w:val="en-GB"/>
        </w:rPr>
        <w:t>intervention, while in the Southern Cone the predominant objective was to roll it back. This difference was reflected in the tax burden, which increased substantially i</w:t>
      </w:r>
      <w:r w:rsidR="004406B5" w:rsidRPr="00D9330B">
        <w:rPr>
          <w:rFonts w:ascii="Times New Roman" w:hAnsi="Times New Roman" w:cs="Times New Roman"/>
          <w:sz w:val="24"/>
          <w:szCs w:val="24"/>
          <w:lang w:val="en-GB"/>
        </w:rPr>
        <w:t>n Brazil but stagnated or</w:t>
      </w:r>
      <w:r w:rsidR="00CB63E6" w:rsidRPr="00D9330B">
        <w:rPr>
          <w:rFonts w:ascii="Times New Roman" w:hAnsi="Times New Roman" w:cs="Times New Roman"/>
          <w:sz w:val="24"/>
          <w:szCs w:val="24"/>
          <w:lang w:val="en-GB"/>
        </w:rPr>
        <w:t xml:space="preserve"> declined in the other countries</w:t>
      </w:r>
      <w:r w:rsidR="00D44E08" w:rsidRPr="00D9330B">
        <w:rPr>
          <w:rFonts w:ascii="Times New Roman" w:hAnsi="Times New Roman" w:cs="Times New Roman"/>
          <w:sz w:val="24"/>
          <w:szCs w:val="24"/>
          <w:lang w:val="en-GB"/>
        </w:rPr>
        <w:t>, in</w:t>
      </w:r>
      <w:r w:rsidR="00614928" w:rsidRPr="00D9330B">
        <w:rPr>
          <w:rFonts w:ascii="Times New Roman" w:hAnsi="Times New Roman" w:cs="Times New Roman"/>
          <w:sz w:val="24"/>
          <w:szCs w:val="24"/>
          <w:lang w:val="en-GB"/>
        </w:rPr>
        <w:t xml:space="preserve"> part due to changes in social security</w:t>
      </w:r>
      <w:r w:rsidR="00CB63E6" w:rsidRPr="00D9330B">
        <w:rPr>
          <w:rFonts w:ascii="Times New Roman" w:hAnsi="Times New Roman" w:cs="Times New Roman"/>
          <w:sz w:val="24"/>
          <w:szCs w:val="24"/>
          <w:lang w:val="en-GB"/>
        </w:rPr>
        <w:t>.</w:t>
      </w:r>
    </w:p>
    <w:p w:rsidR="005B1CD8" w:rsidRPr="00D9330B" w:rsidRDefault="00CB63E6" w:rsidP="00557FAC">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r>
      <w:r w:rsidR="005B1CD8" w:rsidRPr="00D9330B">
        <w:rPr>
          <w:rFonts w:ascii="Times New Roman" w:hAnsi="Times New Roman" w:cs="Times New Roman"/>
          <w:sz w:val="24"/>
          <w:szCs w:val="24"/>
          <w:lang w:val="en-GB"/>
        </w:rPr>
        <w:t>The differenc</w:t>
      </w:r>
      <w:r w:rsidR="00941B99" w:rsidRPr="00D9330B">
        <w:rPr>
          <w:rFonts w:ascii="Times New Roman" w:hAnsi="Times New Roman" w:cs="Times New Roman"/>
          <w:sz w:val="24"/>
          <w:szCs w:val="24"/>
          <w:lang w:val="en-GB"/>
        </w:rPr>
        <w:t>e</w:t>
      </w:r>
      <w:r w:rsidR="00665579" w:rsidRPr="00D9330B">
        <w:rPr>
          <w:rFonts w:ascii="Times New Roman" w:hAnsi="Times New Roman" w:cs="Times New Roman"/>
          <w:sz w:val="24"/>
          <w:szCs w:val="24"/>
          <w:lang w:val="en-GB"/>
        </w:rPr>
        <w:t>s in economic policy</w:t>
      </w:r>
      <w:r w:rsidR="005B1CD8" w:rsidRPr="00D9330B">
        <w:rPr>
          <w:rFonts w:ascii="Times New Roman" w:hAnsi="Times New Roman" w:cs="Times New Roman"/>
          <w:sz w:val="24"/>
          <w:szCs w:val="24"/>
          <w:lang w:val="en-GB"/>
        </w:rPr>
        <w:t xml:space="preserve"> between the Brazili</w:t>
      </w:r>
      <w:r w:rsidR="00B12247" w:rsidRPr="00D9330B">
        <w:rPr>
          <w:rFonts w:ascii="Times New Roman" w:hAnsi="Times New Roman" w:cs="Times New Roman"/>
          <w:sz w:val="24"/>
          <w:szCs w:val="24"/>
          <w:lang w:val="en-GB"/>
        </w:rPr>
        <w:t>an military regime and its</w:t>
      </w:r>
      <w:r w:rsidR="000D078D" w:rsidRPr="00D9330B">
        <w:rPr>
          <w:rFonts w:ascii="Times New Roman" w:hAnsi="Times New Roman" w:cs="Times New Roman"/>
          <w:sz w:val="24"/>
          <w:szCs w:val="24"/>
          <w:lang w:val="en-GB"/>
        </w:rPr>
        <w:t xml:space="preserve"> counterparts</w:t>
      </w:r>
      <w:r w:rsidR="00B12247" w:rsidRPr="00D9330B">
        <w:rPr>
          <w:rFonts w:ascii="Times New Roman" w:hAnsi="Times New Roman" w:cs="Times New Roman"/>
          <w:sz w:val="24"/>
          <w:szCs w:val="24"/>
          <w:lang w:val="en-GB"/>
        </w:rPr>
        <w:t xml:space="preserve"> in Argentina, Chile and Uruguay</w:t>
      </w:r>
      <w:r w:rsidR="000D078D" w:rsidRPr="00D9330B">
        <w:rPr>
          <w:rFonts w:ascii="Times New Roman" w:hAnsi="Times New Roman" w:cs="Times New Roman"/>
          <w:sz w:val="24"/>
          <w:szCs w:val="24"/>
          <w:lang w:val="en-GB"/>
        </w:rPr>
        <w:t xml:space="preserve"> were</w:t>
      </w:r>
      <w:r w:rsidR="00B12247" w:rsidRPr="00D9330B">
        <w:rPr>
          <w:rFonts w:ascii="Times New Roman" w:hAnsi="Times New Roman" w:cs="Times New Roman"/>
          <w:sz w:val="24"/>
          <w:szCs w:val="24"/>
          <w:lang w:val="en-GB"/>
        </w:rPr>
        <w:t xml:space="preserve"> marked.</w:t>
      </w:r>
      <w:r w:rsidR="00A84674" w:rsidRPr="00D9330B">
        <w:rPr>
          <w:rFonts w:ascii="Times New Roman" w:hAnsi="Times New Roman" w:cs="Times New Roman"/>
          <w:sz w:val="24"/>
          <w:szCs w:val="24"/>
          <w:lang w:val="en-GB"/>
        </w:rPr>
        <w:t xml:space="preserve"> In all three Southern Cone c</w:t>
      </w:r>
      <w:r w:rsidR="00B12247" w:rsidRPr="00D9330B">
        <w:rPr>
          <w:rFonts w:ascii="Times New Roman" w:hAnsi="Times New Roman" w:cs="Times New Roman"/>
          <w:sz w:val="24"/>
          <w:szCs w:val="24"/>
          <w:lang w:val="en-GB"/>
        </w:rPr>
        <w:t>ountries</w:t>
      </w:r>
      <w:r w:rsidR="00DC669F" w:rsidRPr="00D9330B">
        <w:rPr>
          <w:rFonts w:ascii="Times New Roman" w:hAnsi="Times New Roman" w:cs="Times New Roman"/>
          <w:sz w:val="24"/>
          <w:szCs w:val="24"/>
          <w:lang w:val="en-GB"/>
        </w:rPr>
        <w:t xml:space="preserve"> authoritie</w:t>
      </w:r>
      <w:r w:rsidR="00751FD5" w:rsidRPr="00D9330B">
        <w:rPr>
          <w:rFonts w:ascii="Times New Roman" w:hAnsi="Times New Roman" w:cs="Times New Roman"/>
          <w:sz w:val="24"/>
          <w:szCs w:val="24"/>
          <w:lang w:val="en-GB"/>
        </w:rPr>
        <w:t>s sought</w:t>
      </w:r>
      <w:r w:rsidR="005B1CD8" w:rsidRPr="00D9330B">
        <w:rPr>
          <w:rFonts w:ascii="Times New Roman" w:hAnsi="Times New Roman" w:cs="Times New Roman"/>
          <w:sz w:val="24"/>
          <w:szCs w:val="24"/>
          <w:lang w:val="en-GB"/>
        </w:rPr>
        <w:t xml:space="preserve"> to reduce the state’</w:t>
      </w:r>
      <w:r w:rsidR="00941B99" w:rsidRPr="00D9330B">
        <w:rPr>
          <w:rFonts w:ascii="Times New Roman" w:hAnsi="Times New Roman" w:cs="Times New Roman"/>
          <w:sz w:val="24"/>
          <w:szCs w:val="24"/>
          <w:lang w:val="en-GB"/>
        </w:rPr>
        <w:t>s presence</w:t>
      </w:r>
      <w:r w:rsidR="00891899" w:rsidRPr="00D9330B">
        <w:rPr>
          <w:rFonts w:ascii="Times New Roman" w:hAnsi="Times New Roman" w:cs="Times New Roman"/>
          <w:sz w:val="24"/>
          <w:szCs w:val="24"/>
          <w:lang w:val="en-GB"/>
        </w:rPr>
        <w:t xml:space="preserve"> through a variety of trade, financial, fiscal, labour market and other reforms</w:t>
      </w:r>
      <w:r w:rsidR="001227EC" w:rsidRPr="00D9330B">
        <w:rPr>
          <w:rFonts w:ascii="Times New Roman" w:hAnsi="Times New Roman" w:cs="Times New Roman"/>
          <w:sz w:val="24"/>
          <w:szCs w:val="24"/>
          <w:lang w:val="en-GB"/>
        </w:rPr>
        <w:t>.</w:t>
      </w:r>
      <w:r w:rsidR="00F63178" w:rsidRPr="00D9330B">
        <w:rPr>
          <w:rFonts w:ascii="Times New Roman" w:hAnsi="Times New Roman" w:cs="Times New Roman"/>
          <w:sz w:val="24"/>
          <w:szCs w:val="24"/>
          <w:lang w:val="en-GB"/>
        </w:rPr>
        <w:t xml:space="preserve"> Chile’s reforms, which</w:t>
      </w:r>
      <w:r w:rsidR="00B063C5" w:rsidRPr="00D9330B">
        <w:rPr>
          <w:rFonts w:ascii="Times New Roman" w:hAnsi="Times New Roman" w:cs="Times New Roman"/>
          <w:sz w:val="24"/>
          <w:szCs w:val="24"/>
          <w:lang w:val="en-GB"/>
        </w:rPr>
        <w:t xml:space="preserve"> followed the 1973</w:t>
      </w:r>
      <w:r w:rsidR="008F2290" w:rsidRPr="00D9330B">
        <w:rPr>
          <w:rFonts w:ascii="Times New Roman" w:hAnsi="Times New Roman" w:cs="Times New Roman"/>
          <w:sz w:val="24"/>
          <w:szCs w:val="24"/>
          <w:lang w:val="en-GB"/>
        </w:rPr>
        <w:t xml:space="preserve"> coup </w:t>
      </w:r>
      <w:r w:rsidR="00891899" w:rsidRPr="00D9330B">
        <w:rPr>
          <w:rFonts w:ascii="Times New Roman" w:hAnsi="Times New Roman" w:cs="Times New Roman"/>
          <w:sz w:val="24"/>
          <w:szCs w:val="24"/>
          <w:lang w:val="en-GB"/>
        </w:rPr>
        <w:t>d’é</w:t>
      </w:r>
      <w:r w:rsidR="00B063C5" w:rsidRPr="00D9330B">
        <w:rPr>
          <w:rFonts w:ascii="Times New Roman" w:hAnsi="Times New Roman" w:cs="Times New Roman"/>
          <w:sz w:val="24"/>
          <w:szCs w:val="24"/>
          <w:lang w:val="en-GB"/>
        </w:rPr>
        <w:t xml:space="preserve">tat </w:t>
      </w:r>
      <w:r w:rsidR="00EF1B7C">
        <w:rPr>
          <w:rFonts w:ascii="Times New Roman" w:hAnsi="Times New Roman" w:cs="Times New Roman"/>
          <w:sz w:val="24"/>
          <w:szCs w:val="24"/>
          <w:lang w:val="en-GB"/>
        </w:rPr>
        <w:t>against</w:t>
      </w:r>
      <w:r w:rsidR="008F2290" w:rsidRPr="00D9330B">
        <w:rPr>
          <w:rFonts w:ascii="Times New Roman" w:hAnsi="Times New Roman" w:cs="Times New Roman"/>
          <w:sz w:val="24"/>
          <w:szCs w:val="24"/>
          <w:lang w:val="en-GB"/>
        </w:rPr>
        <w:t xml:space="preserve"> Salvador Allende</w:t>
      </w:r>
      <w:r w:rsidR="00F63178" w:rsidRPr="00D9330B">
        <w:rPr>
          <w:rFonts w:ascii="Times New Roman" w:hAnsi="Times New Roman" w:cs="Times New Roman"/>
          <w:sz w:val="24"/>
          <w:szCs w:val="24"/>
          <w:lang w:val="en-GB"/>
        </w:rPr>
        <w:t>, were easily the deepest, extend</w:t>
      </w:r>
      <w:r w:rsidR="00891899" w:rsidRPr="00D9330B">
        <w:rPr>
          <w:rFonts w:ascii="Times New Roman" w:hAnsi="Times New Roman" w:cs="Times New Roman"/>
          <w:sz w:val="24"/>
          <w:szCs w:val="24"/>
          <w:lang w:val="en-GB"/>
        </w:rPr>
        <w:t>ing beyond market liberalisation</w:t>
      </w:r>
      <w:r w:rsidR="00F63178" w:rsidRPr="00D9330B">
        <w:rPr>
          <w:rFonts w:ascii="Times New Roman" w:hAnsi="Times New Roman" w:cs="Times New Roman"/>
          <w:sz w:val="24"/>
          <w:szCs w:val="24"/>
          <w:lang w:val="en-GB"/>
        </w:rPr>
        <w:t xml:space="preserve"> </w:t>
      </w:r>
      <w:r w:rsidR="00B063C5" w:rsidRPr="00D9330B">
        <w:rPr>
          <w:rFonts w:ascii="Times New Roman" w:hAnsi="Times New Roman" w:cs="Times New Roman"/>
          <w:sz w:val="24"/>
          <w:szCs w:val="24"/>
          <w:lang w:val="en-GB"/>
        </w:rPr>
        <w:t>to the privatisation of</w:t>
      </w:r>
      <w:r w:rsidR="00F63178" w:rsidRPr="00D9330B">
        <w:rPr>
          <w:rFonts w:ascii="Times New Roman" w:hAnsi="Times New Roman" w:cs="Times New Roman"/>
          <w:sz w:val="24"/>
          <w:szCs w:val="24"/>
          <w:lang w:val="en-GB"/>
        </w:rPr>
        <w:t xml:space="preserve"> </w:t>
      </w:r>
      <w:r w:rsidR="00891899" w:rsidRPr="00D9330B">
        <w:rPr>
          <w:rFonts w:ascii="Times New Roman" w:hAnsi="Times New Roman" w:cs="Times New Roman"/>
          <w:sz w:val="24"/>
          <w:szCs w:val="24"/>
          <w:lang w:val="en-GB"/>
        </w:rPr>
        <w:t xml:space="preserve">many </w:t>
      </w:r>
      <w:r w:rsidR="00F63178" w:rsidRPr="00D9330B">
        <w:rPr>
          <w:rFonts w:ascii="Times New Roman" w:hAnsi="Times New Roman" w:cs="Times New Roman"/>
          <w:sz w:val="24"/>
          <w:szCs w:val="24"/>
          <w:lang w:val="en-GB"/>
        </w:rPr>
        <w:t>public enterprises and the socia</w:t>
      </w:r>
      <w:r w:rsidR="00B063C5" w:rsidRPr="00D9330B">
        <w:rPr>
          <w:rFonts w:ascii="Times New Roman" w:hAnsi="Times New Roman" w:cs="Times New Roman"/>
          <w:sz w:val="24"/>
          <w:szCs w:val="24"/>
          <w:lang w:val="en-GB"/>
        </w:rPr>
        <w:t>l security system. The</w:t>
      </w:r>
      <w:r w:rsidR="00F63178" w:rsidRPr="00D9330B">
        <w:rPr>
          <w:rFonts w:ascii="Times New Roman" w:hAnsi="Times New Roman" w:cs="Times New Roman"/>
          <w:sz w:val="24"/>
          <w:szCs w:val="24"/>
          <w:lang w:val="en-GB"/>
        </w:rPr>
        <w:t xml:space="preserve"> tax b</w:t>
      </w:r>
      <w:r w:rsidR="008F2290" w:rsidRPr="00D9330B">
        <w:rPr>
          <w:rFonts w:ascii="Times New Roman" w:hAnsi="Times New Roman" w:cs="Times New Roman"/>
          <w:sz w:val="24"/>
          <w:szCs w:val="24"/>
          <w:lang w:val="en-GB"/>
        </w:rPr>
        <w:t>urden stagnated duri</w:t>
      </w:r>
      <w:r w:rsidR="00B063C5" w:rsidRPr="00D9330B">
        <w:rPr>
          <w:rFonts w:ascii="Times New Roman" w:hAnsi="Times New Roman" w:cs="Times New Roman"/>
          <w:sz w:val="24"/>
          <w:szCs w:val="24"/>
          <w:lang w:val="en-GB"/>
        </w:rPr>
        <w:t>n</w:t>
      </w:r>
      <w:r w:rsidR="008F2290" w:rsidRPr="00D9330B">
        <w:rPr>
          <w:rFonts w:ascii="Times New Roman" w:hAnsi="Times New Roman" w:cs="Times New Roman"/>
          <w:sz w:val="24"/>
          <w:szCs w:val="24"/>
          <w:lang w:val="en-GB"/>
        </w:rPr>
        <w:t>g the 1970s</w:t>
      </w:r>
      <w:r w:rsidR="00F63178" w:rsidRPr="00D9330B">
        <w:rPr>
          <w:rFonts w:ascii="Times New Roman" w:hAnsi="Times New Roman" w:cs="Times New Roman"/>
          <w:sz w:val="24"/>
          <w:szCs w:val="24"/>
          <w:lang w:val="en-GB"/>
        </w:rPr>
        <w:t xml:space="preserve"> and then dropped dramatically in the 1980s, mainly as a result of the </w:t>
      </w:r>
      <w:r w:rsidR="00CF6A0C" w:rsidRPr="00D9330B">
        <w:rPr>
          <w:rFonts w:ascii="Times New Roman" w:hAnsi="Times New Roman" w:cs="Times New Roman"/>
          <w:sz w:val="24"/>
          <w:szCs w:val="24"/>
          <w:lang w:val="en-GB"/>
        </w:rPr>
        <w:t xml:space="preserve">pioneering </w:t>
      </w:r>
      <w:r w:rsidR="00F36888" w:rsidRPr="00D9330B">
        <w:rPr>
          <w:rFonts w:ascii="Times New Roman" w:hAnsi="Times New Roman" w:cs="Times New Roman"/>
          <w:sz w:val="24"/>
          <w:szCs w:val="24"/>
          <w:lang w:val="en-GB"/>
        </w:rPr>
        <w:t>1981 pension</w:t>
      </w:r>
      <w:r w:rsidR="00F63178" w:rsidRPr="00D9330B">
        <w:rPr>
          <w:rFonts w:ascii="Times New Roman" w:hAnsi="Times New Roman" w:cs="Times New Roman"/>
          <w:sz w:val="24"/>
          <w:szCs w:val="24"/>
          <w:lang w:val="en-GB"/>
        </w:rPr>
        <w:t xml:space="preserve"> refo</w:t>
      </w:r>
      <w:r w:rsidR="00CF6A0C" w:rsidRPr="00D9330B">
        <w:rPr>
          <w:rFonts w:ascii="Times New Roman" w:hAnsi="Times New Roman" w:cs="Times New Roman"/>
          <w:sz w:val="24"/>
          <w:szCs w:val="24"/>
          <w:lang w:val="en-GB"/>
        </w:rPr>
        <w:t>rm, but also due to deep cuts in</w:t>
      </w:r>
      <w:r w:rsidR="00F63178" w:rsidRPr="00D9330B">
        <w:rPr>
          <w:rFonts w:ascii="Times New Roman" w:hAnsi="Times New Roman" w:cs="Times New Roman"/>
          <w:sz w:val="24"/>
          <w:szCs w:val="24"/>
          <w:lang w:val="en-GB"/>
        </w:rPr>
        <w:t xml:space="preserve"> </w:t>
      </w:r>
      <w:r w:rsidR="00614928" w:rsidRPr="00D9330B">
        <w:rPr>
          <w:rFonts w:ascii="Times New Roman" w:hAnsi="Times New Roman" w:cs="Times New Roman"/>
          <w:sz w:val="24"/>
          <w:szCs w:val="24"/>
          <w:lang w:val="en-GB"/>
        </w:rPr>
        <w:t>income taxation</w:t>
      </w:r>
      <w:r w:rsidR="00B063C5" w:rsidRPr="00D9330B">
        <w:rPr>
          <w:rFonts w:ascii="Times New Roman" w:hAnsi="Times New Roman" w:cs="Times New Roman"/>
          <w:sz w:val="24"/>
          <w:szCs w:val="24"/>
          <w:lang w:val="en-GB"/>
        </w:rPr>
        <w:t>. When the armed forces</w:t>
      </w:r>
      <w:r w:rsidR="00F63178" w:rsidRPr="00D9330B">
        <w:rPr>
          <w:rFonts w:ascii="Times New Roman" w:hAnsi="Times New Roman" w:cs="Times New Roman"/>
          <w:sz w:val="24"/>
          <w:szCs w:val="24"/>
          <w:lang w:val="en-GB"/>
        </w:rPr>
        <w:t xml:space="preserve"> left </w:t>
      </w:r>
      <w:r w:rsidR="00F63178" w:rsidRPr="00D9330B">
        <w:rPr>
          <w:rFonts w:ascii="Times New Roman" w:hAnsi="Times New Roman" w:cs="Times New Roman"/>
          <w:sz w:val="24"/>
          <w:szCs w:val="24"/>
          <w:lang w:val="en-GB"/>
        </w:rPr>
        <w:lastRenderedPageBreak/>
        <w:t>power in early 1990 Chile’s tax burden, at 16.5 per cent of GDP, was less than two-thirds it</w:t>
      </w:r>
      <w:r w:rsidR="00CF6A0C" w:rsidRPr="00D9330B">
        <w:rPr>
          <w:rFonts w:ascii="Times New Roman" w:hAnsi="Times New Roman" w:cs="Times New Roman"/>
          <w:sz w:val="24"/>
          <w:szCs w:val="24"/>
          <w:lang w:val="en-GB"/>
        </w:rPr>
        <w:t>s pre-coup level</w:t>
      </w:r>
      <w:r w:rsidR="00F63178" w:rsidRPr="00D9330B">
        <w:rPr>
          <w:rFonts w:ascii="Times New Roman" w:hAnsi="Times New Roman" w:cs="Times New Roman"/>
          <w:sz w:val="24"/>
          <w:szCs w:val="24"/>
          <w:lang w:val="en-GB"/>
        </w:rPr>
        <w:t>.</w:t>
      </w:r>
    </w:p>
    <w:p w:rsidR="00614928" w:rsidRPr="00D9330B" w:rsidRDefault="00614928" w:rsidP="00557FAC">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Attempts to roll back what was</w:t>
      </w:r>
      <w:r w:rsidR="00B063C5" w:rsidRPr="00D9330B">
        <w:rPr>
          <w:rFonts w:ascii="Times New Roman" w:hAnsi="Times New Roman" w:cs="Times New Roman"/>
          <w:sz w:val="24"/>
          <w:szCs w:val="24"/>
          <w:lang w:val="en-GB"/>
        </w:rPr>
        <w:t xml:space="preserve"> viewed as an overextended public sector</w:t>
      </w:r>
      <w:r w:rsidRPr="00D9330B">
        <w:rPr>
          <w:rFonts w:ascii="Times New Roman" w:hAnsi="Times New Roman" w:cs="Times New Roman"/>
          <w:sz w:val="24"/>
          <w:szCs w:val="24"/>
          <w:lang w:val="en-GB"/>
        </w:rPr>
        <w:t xml:space="preserve"> began earlier but proceeded more fitfully</w:t>
      </w:r>
      <w:r w:rsidR="00085262" w:rsidRPr="00D9330B">
        <w:rPr>
          <w:rFonts w:ascii="Times New Roman" w:hAnsi="Times New Roman" w:cs="Times New Roman"/>
          <w:sz w:val="24"/>
          <w:szCs w:val="24"/>
          <w:lang w:val="en-GB"/>
        </w:rPr>
        <w:t xml:space="preserve"> in Ar</w:t>
      </w:r>
      <w:r w:rsidRPr="00D9330B">
        <w:rPr>
          <w:rFonts w:ascii="Times New Roman" w:hAnsi="Times New Roman" w:cs="Times New Roman"/>
          <w:sz w:val="24"/>
          <w:szCs w:val="24"/>
          <w:lang w:val="en-GB"/>
        </w:rPr>
        <w:t>gentina. The brief</w:t>
      </w:r>
      <w:r w:rsidR="00DB31BA" w:rsidRPr="00D9330B">
        <w:rPr>
          <w:rFonts w:ascii="Times New Roman" w:hAnsi="Times New Roman" w:cs="Times New Roman"/>
          <w:sz w:val="24"/>
          <w:szCs w:val="24"/>
          <w:lang w:val="en-GB"/>
        </w:rPr>
        <w:t xml:space="preserve"> (1955-1958)</w:t>
      </w:r>
      <w:r w:rsidRPr="00D9330B">
        <w:rPr>
          <w:rFonts w:ascii="Times New Roman" w:hAnsi="Times New Roman" w:cs="Times New Roman"/>
          <w:sz w:val="24"/>
          <w:szCs w:val="24"/>
          <w:lang w:val="en-GB"/>
        </w:rPr>
        <w:t xml:space="preserve"> military regime est</w:t>
      </w:r>
      <w:r w:rsidR="008F2290" w:rsidRPr="00D9330B">
        <w:rPr>
          <w:rFonts w:ascii="Times New Roman" w:hAnsi="Times New Roman" w:cs="Times New Roman"/>
          <w:sz w:val="24"/>
          <w:szCs w:val="24"/>
          <w:lang w:val="en-GB"/>
        </w:rPr>
        <w:t xml:space="preserve">ablished after the overthrow of </w:t>
      </w:r>
      <w:r w:rsidR="00DB31BA" w:rsidRPr="00D9330B">
        <w:rPr>
          <w:rFonts w:ascii="Times New Roman" w:hAnsi="Times New Roman" w:cs="Times New Roman"/>
          <w:sz w:val="24"/>
          <w:szCs w:val="24"/>
          <w:lang w:val="en-GB"/>
        </w:rPr>
        <w:t xml:space="preserve">Juan </w:t>
      </w:r>
      <w:proofErr w:type="spellStart"/>
      <w:r w:rsidR="00DB31BA" w:rsidRPr="00D9330B">
        <w:rPr>
          <w:rFonts w:ascii="Times New Roman" w:hAnsi="Times New Roman" w:cs="Times New Roman"/>
          <w:sz w:val="24"/>
          <w:szCs w:val="24"/>
          <w:lang w:val="en-GB"/>
        </w:rPr>
        <w:t>Perón</w:t>
      </w:r>
      <w:proofErr w:type="spellEnd"/>
      <w:r w:rsidRPr="00D9330B">
        <w:rPr>
          <w:rFonts w:ascii="Times New Roman" w:hAnsi="Times New Roman" w:cs="Times New Roman"/>
          <w:sz w:val="24"/>
          <w:szCs w:val="24"/>
          <w:lang w:val="en-GB"/>
        </w:rPr>
        <w:t xml:space="preserve"> sought to re</w:t>
      </w:r>
      <w:r w:rsidR="00471701" w:rsidRPr="00D9330B">
        <w:rPr>
          <w:rFonts w:ascii="Times New Roman" w:hAnsi="Times New Roman" w:cs="Times New Roman"/>
          <w:sz w:val="24"/>
          <w:szCs w:val="24"/>
          <w:lang w:val="en-GB"/>
        </w:rPr>
        <w:t>verse what its leadership saw</w:t>
      </w:r>
      <w:r w:rsidRPr="00D9330B">
        <w:rPr>
          <w:rFonts w:ascii="Times New Roman" w:hAnsi="Times New Roman" w:cs="Times New Roman"/>
          <w:sz w:val="24"/>
          <w:szCs w:val="24"/>
          <w:lang w:val="en-GB"/>
        </w:rPr>
        <w:t xml:space="preserve"> as </w:t>
      </w:r>
      <w:proofErr w:type="spellStart"/>
      <w:r w:rsidRPr="00D9330B">
        <w:rPr>
          <w:rFonts w:ascii="Times New Roman" w:hAnsi="Times New Roman" w:cs="Times New Roman"/>
          <w:sz w:val="24"/>
          <w:szCs w:val="24"/>
          <w:lang w:val="en-GB"/>
        </w:rPr>
        <w:t>Perón’s</w:t>
      </w:r>
      <w:proofErr w:type="spellEnd"/>
      <w:r w:rsidRPr="00D9330B">
        <w:rPr>
          <w:rFonts w:ascii="Times New Roman" w:hAnsi="Times New Roman" w:cs="Times New Roman"/>
          <w:sz w:val="24"/>
          <w:szCs w:val="24"/>
          <w:lang w:val="en-GB"/>
        </w:rPr>
        <w:t xml:space="preserve"> statist excesses. Argentina’s tax burden fell sharply,</w:t>
      </w:r>
      <w:r w:rsidR="0099681C" w:rsidRPr="00D9330B">
        <w:rPr>
          <w:rFonts w:ascii="Times New Roman" w:hAnsi="Times New Roman" w:cs="Times New Roman"/>
          <w:sz w:val="24"/>
          <w:szCs w:val="24"/>
          <w:lang w:val="en-GB"/>
        </w:rPr>
        <w:t xml:space="preserve"> thanks in part to a</w:t>
      </w:r>
      <w:r w:rsidRPr="00D9330B">
        <w:rPr>
          <w:rFonts w:ascii="Times New Roman" w:hAnsi="Times New Roman" w:cs="Times New Roman"/>
          <w:sz w:val="24"/>
          <w:szCs w:val="24"/>
          <w:lang w:val="en-GB"/>
        </w:rPr>
        <w:t xml:space="preserve"> decline in social security revenues.</w:t>
      </w:r>
      <w:r w:rsidRPr="00D9330B">
        <w:rPr>
          <w:rStyle w:val="FootnoteReference"/>
          <w:rFonts w:ascii="Times New Roman" w:hAnsi="Times New Roman" w:cs="Times New Roman"/>
          <w:sz w:val="24"/>
          <w:szCs w:val="24"/>
          <w:lang w:val="en-GB"/>
        </w:rPr>
        <w:footnoteReference w:id="63"/>
      </w:r>
      <w:r w:rsidR="00E76E7D" w:rsidRPr="00D9330B">
        <w:rPr>
          <w:rFonts w:ascii="Times New Roman" w:hAnsi="Times New Roman" w:cs="Times New Roman"/>
          <w:sz w:val="24"/>
          <w:szCs w:val="24"/>
          <w:lang w:val="en-GB"/>
        </w:rPr>
        <w:t xml:space="preserve"> The</w:t>
      </w:r>
      <w:r w:rsidRPr="00D9330B">
        <w:rPr>
          <w:rFonts w:ascii="Times New Roman" w:hAnsi="Times New Roman" w:cs="Times New Roman"/>
          <w:sz w:val="24"/>
          <w:szCs w:val="24"/>
          <w:lang w:val="en-GB"/>
        </w:rPr>
        <w:t xml:space="preserve"> cleavage that developed after the coup between</w:t>
      </w:r>
      <w:r w:rsidR="00085262" w:rsidRPr="00D9330B">
        <w:rPr>
          <w:rFonts w:ascii="Times New Roman" w:hAnsi="Times New Roman" w:cs="Times New Roman"/>
          <w:sz w:val="24"/>
          <w:szCs w:val="24"/>
          <w:lang w:val="en-GB"/>
        </w:rPr>
        <w:t xml:space="preserve"> statist</w:t>
      </w:r>
      <w:r w:rsidRPr="00D9330B">
        <w:rPr>
          <w:rFonts w:ascii="Times New Roman" w:hAnsi="Times New Roman" w:cs="Times New Roman"/>
          <w:sz w:val="24"/>
          <w:szCs w:val="24"/>
          <w:lang w:val="en-GB"/>
        </w:rPr>
        <w:t xml:space="preserve"> </w:t>
      </w:r>
      <w:proofErr w:type="spellStart"/>
      <w:r w:rsidRPr="00D9330B">
        <w:rPr>
          <w:rFonts w:ascii="Times New Roman" w:hAnsi="Times New Roman" w:cs="Times New Roman"/>
          <w:i/>
          <w:sz w:val="24"/>
          <w:szCs w:val="24"/>
          <w:lang w:val="en-GB"/>
        </w:rPr>
        <w:t>peronistas</w:t>
      </w:r>
      <w:proofErr w:type="spellEnd"/>
      <w:r w:rsidRPr="00D9330B">
        <w:rPr>
          <w:rFonts w:ascii="Times New Roman" w:hAnsi="Times New Roman" w:cs="Times New Roman"/>
          <w:sz w:val="24"/>
          <w:szCs w:val="24"/>
          <w:lang w:val="en-GB"/>
        </w:rPr>
        <w:t xml:space="preserve"> and</w:t>
      </w:r>
      <w:r w:rsidR="00085262" w:rsidRPr="00D9330B">
        <w:rPr>
          <w:rFonts w:ascii="Times New Roman" w:hAnsi="Times New Roman" w:cs="Times New Roman"/>
          <w:sz w:val="24"/>
          <w:szCs w:val="24"/>
          <w:lang w:val="en-GB"/>
        </w:rPr>
        <w:t xml:space="preserve"> more liberal</w:t>
      </w:r>
      <w:r w:rsidRPr="00D9330B">
        <w:rPr>
          <w:rFonts w:ascii="Times New Roman" w:hAnsi="Times New Roman" w:cs="Times New Roman"/>
          <w:sz w:val="24"/>
          <w:szCs w:val="24"/>
          <w:lang w:val="en-GB"/>
        </w:rPr>
        <w:t xml:space="preserve"> </w:t>
      </w:r>
      <w:r w:rsidR="00545201" w:rsidRPr="00D9330B">
        <w:rPr>
          <w:rFonts w:ascii="Times New Roman" w:hAnsi="Times New Roman" w:cs="Times New Roman"/>
          <w:sz w:val="24"/>
          <w:szCs w:val="24"/>
          <w:lang w:val="en-GB"/>
        </w:rPr>
        <w:t>an</w:t>
      </w:r>
      <w:r w:rsidR="00085262" w:rsidRPr="00D9330B">
        <w:rPr>
          <w:rFonts w:ascii="Times New Roman" w:hAnsi="Times New Roman" w:cs="Times New Roman"/>
          <w:sz w:val="24"/>
          <w:szCs w:val="24"/>
          <w:lang w:val="en-GB"/>
        </w:rPr>
        <w:t>ti-</w:t>
      </w:r>
      <w:proofErr w:type="spellStart"/>
      <w:r w:rsidR="00085262" w:rsidRPr="00D9330B">
        <w:rPr>
          <w:rFonts w:ascii="Times New Roman" w:hAnsi="Times New Roman" w:cs="Times New Roman"/>
          <w:i/>
          <w:sz w:val="24"/>
          <w:szCs w:val="24"/>
          <w:lang w:val="en-GB"/>
        </w:rPr>
        <w:t>peronista</w:t>
      </w:r>
      <w:proofErr w:type="spellEnd"/>
      <w:r w:rsidR="00085262" w:rsidRPr="00D9330B">
        <w:rPr>
          <w:rFonts w:ascii="Times New Roman" w:hAnsi="Times New Roman" w:cs="Times New Roman"/>
          <w:sz w:val="24"/>
          <w:szCs w:val="24"/>
          <w:lang w:val="en-GB"/>
        </w:rPr>
        <w:t xml:space="preserve"> forces</w:t>
      </w:r>
      <w:r w:rsidRPr="00D9330B">
        <w:rPr>
          <w:rFonts w:ascii="Times New Roman" w:hAnsi="Times New Roman" w:cs="Times New Roman"/>
          <w:sz w:val="24"/>
          <w:szCs w:val="24"/>
          <w:lang w:val="en-GB"/>
        </w:rPr>
        <w:t xml:space="preserve"> </w:t>
      </w:r>
      <w:r w:rsidR="00085262" w:rsidRPr="00D9330B">
        <w:rPr>
          <w:rFonts w:ascii="Times New Roman" w:hAnsi="Times New Roman" w:cs="Times New Roman"/>
          <w:sz w:val="24"/>
          <w:szCs w:val="24"/>
          <w:lang w:val="en-GB"/>
        </w:rPr>
        <w:t>led to marked instability in fiscal policy and the tax burden over the next two decades.</w:t>
      </w:r>
      <w:r w:rsidR="00810FE4" w:rsidRPr="00D9330B">
        <w:rPr>
          <w:rStyle w:val="FootnoteReference"/>
          <w:rFonts w:ascii="Times New Roman" w:hAnsi="Times New Roman" w:cs="Times New Roman"/>
          <w:sz w:val="24"/>
          <w:szCs w:val="24"/>
          <w:lang w:val="en-GB"/>
        </w:rPr>
        <w:footnoteReference w:id="64"/>
      </w:r>
      <w:r w:rsidR="00085262" w:rsidRPr="00D9330B">
        <w:rPr>
          <w:rFonts w:ascii="Times New Roman" w:hAnsi="Times New Roman" w:cs="Times New Roman"/>
          <w:sz w:val="24"/>
          <w:szCs w:val="24"/>
          <w:lang w:val="en-GB"/>
        </w:rPr>
        <w:t xml:space="preserve"> I</w:t>
      </w:r>
      <w:r w:rsidR="00D07977" w:rsidRPr="00D9330B">
        <w:rPr>
          <w:rFonts w:ascii="Times New Roman" w:hAnsi="Times New Roman" w:cs="Times New Roman"/>
          <w:sz w:val="24"/>
          <w:szCs w:val="24"/>
          <w:lang w:val="en-GB"/>
        </w:rPr>
        <w:t>n 1976 Argentina’s armed forces undertook their fourth coup d’état</w:t>
      </w:r>
      <w:r w:rsidR="00085262" w:rsidRPr="00D9330B">
        <w:rPr>
          <w:rFonts w:ascii="Times New Roman" w:hAnsi="Times New Roman" w:cs="Times New Roman"/>
          <w:sz w:val="24"/>
          <w:szCs w:val="24"/>
          <w:lang w:val="en-GB"/>
        </w:rPr>
        <w:t xml:space="preserve"> since 1955, but this time</w:t>
      </w:r>
      <w:r w:rsidR="00D07977" w:rsidRPr="00D9330B">
        <w:rPr>
          <w:rFonts w:ascii="Times New Roman" w:hAnsi="Times New Roman" w:cs="Times New Roman"/>
          <w:sz w:val="24"/>
          <w:szCs w:val="24"/>
          <w:lang w:val="en-GB"/>
        </w:rPr>
        <w:t xml:space="preserve"> they were more </w:t>
      </w:r>
      <w:r w:rsidR="00071A4A" w:rsidRPr="00D9330B">
        <w:rPr>
          <w:rFonts w:ascii="Times New Roman" w:hAnsi="Times New Roman" w:cs="Times New Roman"/>
          <w:sz w:val="24"/>
          <w:szCs w:val="24"/>
          <w:lang w:val="en-GB"/>
        </w:rPr>
        <w:t>determined</w:t>
      </w:r>
      <w:r w:rsidR="00085262" w:rsidRPr="00D9330B">
        <w:rPr>
          <w:rFonts w:ascii="Times New Roman" w:hAnsi="Times New Roman" w:cs="Times New Roman"/>
          <w:sz w:val="24"/>
          <w:szCs w:val="24"/>
          <w:lang w:val="en-GB"/>
        </w:rPr>
        <w:t xml:space="preserve"> to bring ab</w:t>
      </w:r>
      <w:r w:rsidR="00545201" w:rsidRPr="00D9330B">
        <w:rPr>
          <w:rFonts w:ascii="Times New Roman" w:hAnsi="Times New Roman" w:cs="Times New Roman"/>
          <w:sz w:val="24"/>
          <w:szCs w:val="24"/>
          <w:lang w:val="en-GB"/>
        </w:rPr>
        <w:t>out radical chang</w:t>
      </w:r>
      <w:r w:rsidR="00A84674" w:rsidRPr="00D9330B">
        <w:rPr>
          <w:rFonts w:ascii="Times New Roman" w:hAnsi="Times New Roman" w:cs="Times New Roman"/>
          <w:sz w:val="24"/>
          <w:szCs w:val="24"/>
          <w:lang w:val="en-GB"/>
        </w:rPr>
        <w:t>e. Although a</w:t>
      </w:r>
      <w:r w:rsidR="00545201" w:rsidRPr="00D9330B">
        <w:rPr>
          <w:rFonts w:ascii="Times New Roman" w:hAnsi="Times New Roman" w:cs="Times New Roman"/>
          <w:sz w:val="24"/>
          <w:szCs w:val="24"/>
          <w:lang w:val="en-GB"/>
        </w:rPr>
        <w:t xml:space="preserve"> leftist insurgency played a crucial role in triggering the coup,</w:t>
      </w:r>
      <w:r w:rsidR="008F2290" w:rsidRPr="00D9330B">
        <w:rPr>
          <w:rFonts w:ascii="Times New Roman" w:hAnsi="Times New Roman" w:cs="Times New Roman"/>
          <w:sz w:val="24"/>
          <w:szCs w:val="24"/>
          <w:lang w:val="en-GB"/>
        </w:rPr>
        <w:t xml:space="preserve"> regime leaders</w:t>
      </w:r>
      <w:r w:rsidR="005006D7" w:rsidRPr="00D9330B">
        <w:rPr>
          <w:rFonts w:ascii="Times New Roman" w:hAnsi="Times New Roman" w:cs="Times New Roman"/>
          <w:sz w:val="24"/>
          <w:szCs w:val="24"/>
          <w:lang w:val="en-GB"/>
        </w:rPr>
        <w:t xml:space="preserve"> and their civilian allies</w:t>
      </w:r>
      <w:r w:rsidR="00545201" w:rsidRPr="00D9330B">
        <w:rPr>
          <w:rFonts w:ascii="Times New Roman" w:hAnsi="Times New Roman" w:cs="Times New Roman"/>
          <w:sz w:val="24"/>
          <w:szCs w:val="24"/>
          <w:lang w:val="en-GB"/>
        </w:rPr>
        <w:t xml:space="preserve"> viewed the statist development model forged under </w:t>
      </w:r>
      <w:proofErr w:type="spellStart"/>
      <w:r w:rsidR="00545201" w:rsidRPr="00D9330B">
        <w:rPr>
          <w:rFonts w:ascii="Times New Roman" w:hAnsi="Times New Roman" w:cs="Times New Roman"/>
          <w:sz w:val="24"/>
          <w:szCs w:val="24"/>
          <w:lang w:val="en-GB"/>
        </w:rPr>
        <w:t>Perón</w:t>
      </w:r>
      <w:proofErr w:type="spellEnd"/>
      <w:r w:rsidR="00471701" w:rsidRPr="00D9330B">
        <w:rPr>
          <w:rFonts w:ascii="Times New Roman" w:hAnsi="Times New Roman" w:cs="Times New Roman"/>
          <w:sz w:val="24"/>
          <w:szCs w:val="24"/>
          <w:lang w:val="en-GB"/>
        </w:rPr>
        <w:t xml:space="preserve"> as a crucial</w:t>
      </w:r>
      <w:r w:rsidR="00545201" w:rsidRPr="00D9330B">
        <w:rPr>
          <w:rFonts w:ascii="Times New Roman" w:hAnsi="Times New Roman" w:cs="Times New Roman"/>
          <w:sz w:val="24"/>
          <w:szCs w:val="24"/>
          <w:lang w:val="en-GB"/>
        </w:rPr>
        <w:t xml:space="preserve"> cause of Argentina’s economic and political woes.</w:t>
      </w:r>
      <w:r w:rsidR="00810FE4" w:rsidRPr="00D9330B">
        <w:rPr>
          <w:rStyle w:val="FootnoteReference"/>
          <w:rFonts w:ascii="Times New Roman" w:hAnsi="Times New Roman" w:cs="Times New Roman"/>
          <w:sz w:val="24"/>
          <w:szCs w:val="24"/>
          <w:lang w:val="en-GB"/>
        </w:rPr>
        <w:footnoteReference w:id="65"/>
      </w:r>
      <w:r w:rsidR="00545201" w:rsidRPr="00D9330B">
        <w:rPr>
          <w:rFonts w:ascii="Times New Roman" w:hAnsi="Times New Roman" w:cs="Times New Roman"/>
          <w:sz w:val="24"/>
          <w:szCs w:val="24"/>
          <w:lang w:val="en-GB"/>
        </w:rPr>
        <w:t xml:space="preserve"> </w:t>
      </w:r>
      <w:r w:rsidR="008F2290" w:rsidRPr="00D9330B">
        <w:rPr>
          <w:rFonts w:ascii="Times New Roman" w:hAnsi="Times New Roman" w:cs="Times New Roman"/>
          <w:sz w:val="24"/>
          <w:szCs w:val="24"/>
          <w:lang w:val="en-GB"/>
        </w:rPr>
        <w:t>T</w:t>
      </w:r>
      <w:r w:rsidR="00891899" w:rsidRPr="00D9330B">
        <w:rPr>
          <w:rFonts w:ascii="Times New Roman" w:hAnsi="Times New Roman" w:cs="Times New Roman"/>
          <w:sz w:val="24"/>
          <w:szCs w:val="24"/>
          <w:lang w:val="en-GB"/>
        </w:rPr>
        <w:t xml:space="preserve">hey thus </w:t>
      </w:r>
      <w:r w:rsidR="004406B5" w:rsidRPr="00D9330B">
        <w:rPr>
          <w:rFonts w:ascii="Times New Roman" w:hAnsi="Times New Roman" w:cs="Times New Roman"/>
          <w:sz w:val="24"/>
          <w:szCs w:val="24"/>
          <w:lang w:val="en-GB"/>
        </w:rPr>
        <w:t xml:space="preserve">advanced a </w:t>
      </w:r>
      <w:r w:rsidR="008F2290" w:rsidRPr="00D9330B">
        <w:rPr>
          <w:rFonts w:ascii="Times New Roman" w:hAnsi="Times New Roman" w:cs="Times New Roman"/>
          <w:sz w:val="24"/>
          <w:szCs w:val="24"/>
          <w:lang w:val="en-GB"/>
        </w:rPr>
        <w:t xml:space="preserve">series of </w:t>
      </w:r>
      <w:r w:rsidR="00A84674" w:rsidRPr="00D9330B">
        <w:rPr>
          <w:rFonts w:ascii="Times New Roman" w:hAnsi="Times New Roman" w:cs="Times New Roman"/>
          <w:sz w:val="24"/>
          <w:szCs w:val="24"/>
          <w:lang w:val="en-GB"/>
        </w:rPr>
        <w:t xml:space="preserve">deep </w:t>
      </w:r>
      <w:r w:rsidR="008F2290" w:rsidRPr="00D9330B">
        <w:rPr>
          <w:rFonts w:ascii="Times New Roman" w:hAnsi="Times New Roman" w:cs="Times New Roman"/>
          <w:sz w:val="24"/>
          <w:szCs w:val="24"/>
          <w:lang w:val="en-GB"/>
        </w:rPr>
        <w:t>liberalising reform</w:t>
      </w:r>
      <w:r w:rsidR="00A84674" w:rsidRPr="00D9330B">
        <w:rPr>
          <w:rFonts w:ascii="Times New Roman" w:hAnsi="Times New Roman" w:cs="Times New Roman"/>
          <w:sz w:val="24"/>
          <w:szCs w:val="24"/>
          <w:lang w:val="en-GB"/>
        </w:rPr>
        <w:t>s</w:t>
      </w:r>
      <w:r w:rsidR="008F2290" w:rsidRPr="00D9330B">
        <w:rPr>
          <w:rFonts w:ascii="Times New Roman" w:hAnsi="Times New Roman" w:cs="Times New Roman"/>
          <w:sz w:val="24"/>
          <w:szCs w:val="24"/>
          <w:lang w:val="en-GB"/>
        </w:rPr>
        <w:t xml:space="preserve">. </w:t>
      </w:r>
      <w:r w:rsidR="00BC3E8E" w:rsidRPr="00D9330B">
        <w:rPr>
          <w:rFonts w:ascii="Times New Roman" w:hAnsi="Times New Roman" w:cs="Times New Roman"/>
          <w:sz w:val="24"/>
          <w:szCs w:val="24"/>
          <w:lang w:val="en-GB"/>
        </w:rPr>
        <w:t>The</w:t>
      </w:r>
      <w:r w:rsidR="008F2290" w:rsidRPr="00D9330B">
        <w:rPr>
          <w:rFonts w:ascii="Times New Roman" w:hAnsi="Times New Roman" w:cs="Times New Roman"/>
          <w:sz w:val="24"/>
          <w:szCs w:val="24"/>
          <w:lang w:val="en-GB"/>
        </w:rPr>
        <w:t xml:space="preserve"> 1976-1983</w:t>
      </w:r>
      <w:r w:rsidR="00071A4A" w:rsidRPr="00D9330B">
        <w:rPr>
          <w:rFonts w:ascii="Times New Roman" w:hAnsi="Times New Roman" w:cs="Times New Roman"/>
          <w:sz w:val="24"/>
          <w:szCs w:val="24"/>
          <w:lang w:val="en-GB"/>
        </w:rPr>
        <w:t xml:space="preserve"> regime did not reduce the </w:t>
      </w:r>
      <w:r w:rsidR="00BC3E8E" w:rsidRPr="00D9330B">
        <w:rPr>
          <w:rFonts w:ascii="Times New Roman" w:hAnsi="Times New Roman" w:cs="Times New Roman"/>
          <w:sz w:val="24"/>
          <w:szCs w:val="24"/>
          <w:lang w:val="en-GB"/>
        </w:rPr>
        <w:t xml:space="preserve">overall </w:t>
      </w:r>
      <w:r w:rsidR="00071A4A" w:rsidRPr="00D9330B">
        <w:rPr>
          <w:rFonts w:ascii="Times New Roman" w:hAnsi="Times New Roman" w:cs="Times New Roman"/>
          <w:sz w:val="24"/>
          <w:szCs w:val="24"/>
          <w:lang w:val="en-GB"/>
        </w:rPr>
        <w:t>tax burden</w:t>
      </w:r>
      <w:r w:rsidR="00041F9E" w:rsidRPr="00D9330B">
        <w:rPr>
          <w:rFonts w:ascii="Times New Roman" w:hAnsi="Times New Roman" w:cs="Times New Roman"/>
          <w:sz w:val="24"/>
          <w:szCs w:val="24"/>
          <w:lang w:val="en-GB"/>
        </w:rPr>
        <w:t>, presumably because it</w:t>
      </w:r>
      <w:r w:rsidR="00071A4A" w:rsidRPr="00D9330B">
        <w:rPr>
          <w:rFonts w:ascii="Times New Roman" w:hAnsi="Times New Roman" w:cs="Times New Roman"/>
          <w:sz w:val="24"/>
          <w:szCs w:val="24"/>
          <w:lang w:val="en-GB"/>
        </w:rPr>
        <w:t xml:space="preserve"> already</w:t>
      </w:r>
      <w:r w:rsidR="008F2290" w:rsidRPr="00D9330B">
        <w:rPr>
          <w:rFonts w:ascii="Times New Roman" w:hAnsi="Times New Roman" w:cs="Times New Roman"/>
          <w:sz w:val="24"/>
          <w:szCs w:val="24"/>
          <w:lang w:val="en-GB"/>
        </w:rPr>
        <w:t xml:space="preserve"> dropp</w:t>
      </w:r>
      <w:r w:rsidR="00BC3E8E" w:rsidRPr="00D9330B">
        <w:rPr>
          <w:rFonts w:ascii="Times New Roman" w:hAnsi="Times New Roman" w:cs="Times New Roman"/>
          <w:sz w:val="24"/>
          <w:szCs w:val="24"/>
          <w:lang w:val="en-GB"/>
        </w:rPr>
        <w:t>ed to such a low level (</w:t>
      </w:r>
      <w:r w:rsidR="008F2290" w:rsidRPr="00D9330B">
        <w:rPr>
          <w:rFonts w:ascii="Times New Roman" w:hAnsi="Times New Roman" w:cs="Times New Roman"/>
          <w:sz w:val="24"/>
          <w:szCs w:val="24"/>
          <w:lang w:val="en-GB"/>
        </w:rPr>
        <w:t xml:space="preserve">12 per </w:t>
      </w:r>
      <w:r w:rsidR="008F2290" w:rsidRPr="00D9330B">
        <w:rPr>
          <w:rFonts w:ascii="Times New Roman" w:hAnsi="Times New Roman" w:cs="Times New Roman"/>
          <w:sz w:val="24"/>
          <w:szCs w:val="24"/>
          <w:lang w:val="en-GB"/>
        </w:rPr>
        <w:lastRenderedPageBreak/>
        <w:t>cent</w:t>
      </w:r>
      <w:r w:rsidR="00DB31BA" w:rsidRPr="00D9330B">
        <w:rPr>
          <w:rFonts w:ascii="Times New Roman" w:hAnsi="Times New Roman" w:cs="Times New Roman"/>
          <w:sz w:val="24"/>
          <w:szCs w:val="24"/>
          <w:lang w:val="en-GB"/>
        </w:rPr>
        <w:t xml:space="preserve"> of GDP</w:t>
      </w:r>
      <w:r w:rsidR="008F2290" w:rsidRPr="00D9330B">
        <w:rPr>
          <w:rFonts w:ascii="Times New Roman" w:hAnsi="Times New Roman" w:cs="Times New Roman"/>
          <w:sz w:val="24"/>
          <w:szCs w:val="24"/>
          <w:lang w:val="en-GB"/>
        </w:rPr>
        <w:t>) that it was obviously in</w:t>
      </w:r>
      <w:r w:rsidR="00071A4A" w:rsidRPr="00D9330B">
        <w:rPr>
          <w:rFonts w:ascii="Times New Roman" w:hAnsi="Times New Roman" w:cs="Times New Roman"/>
          <w:sz w:val="24"/>
          <w:szCs w:val="24"/>
          <w:lang w:val="en-GB"/>
        </w:rPr>
        <w:t>adequate to the country</w:t>
      </w:r>
      <w:r w:rsidR="00BC3E8E" w:rsidRPr="00D9330B">
        <w:rPr>
          <w:rFonts w:ascii="Times New Roman" w:hAnsi="Times New Roman" w:cs="Times New Roman"/>
          <w:sz w:val="24"/>
          <w:szCs w:val="24"/>
          <w:lang w:val="en-GB"/>
        </w:rPr>
        <w:t>’s needs, but it did lighten the burden specifically</w:t>
      </w:r>
      <w:r w:rsidR="00071A4A" w:rsidRPr="00D9330B">
        <w:rPr>
          <w:rFonts w:ascii="Times New Roman" w:hAnsi="Times New Roman" w:cs="Times New Roman"/>
          <w:sz w:val="24"/>
          <w:szCs w:val="24"/>
          <w:lang w:val="en-GB"/>
        </w:rPr>
        <w:t xml:space="preserve"> on business and the wealthy.</w:t>
      </w:r>
      <w:r w:rsidR="00071A4A" w:rsidRPr="00D9330B">
        <w:rPr>
          <w:rStyle w:val="FootnoteReference"/>
          <w:rFonts w:ascii="Times New Roman" w:hAnsi="Times New Roman" w:cs="Times New Roman"/>
          <w:sz w:val="24"/>
          <w:szCs w:val="24"/>
          <w:lang w:val="en-GB"/>
        </w:rPr>
        <w:footnoteReference w:id="66"/>
      </w:r>
    </w:p>
    <w:p w:rsidR="008D4B6F" w:rsidRPr="00D9330B" w:rsidRDefault="00E328C3" w:rsidP="008D4B6F">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In Uruguay</w:t>
      </w:r>
      <w:r w:rsidR="00891899" w:rsidRPr="00D9330B">
        <w:rPr>
          <w:rFonts w:ascii="Times New Roman" w:hAnsi="Times New Roman" w:cs="Times New Roman"/>
          <w:sz w:val="24"/>
          <w:szCs w:val="24"/>
          <w:lang w:val="en-GB"/>
        </w:rPr>
        <w:t xml:space="preserve"> efforts</w:t>
      </w:r>
      <w:r w:rsidR="00471701" w:rsidRPr="00D9330B">
        <w:rPr>
          <w:rFonts w:ascii="Times New Roman" w:hAnsi="Times New Roman" w:cs="Times New Roman"/>
          <w:sz w:val="24"/>
          <w:szCs w:val="24"/>
          <w:lang w:val="en-GB"/>
        </w:rPr>
        <w:t xml:space="preserve"> to</w:t>
      </w:r>
      <w:r w:rsidR="00921556" w:rsidRPr="00D9330B">
        <w:rPr>
          <w:rFonts w:ascii="Times New Roman" w:hAnsi="Times New Roman" w:cs="Times New Roman"/>
          <w:sz w:val="24"/>
          <w:szCs w:val="24"/>
          <w:lang w:val="en-GB"/>
        </w:rPr>
        <w:t xml:space="preserve"> create a leaner</w:t>
      </w:r>
      <w:r w:rsidR="00471701" w:rsidRPr="00D9330B">
        <w:rPr>
          <w:rFonts w:ascii="Times New Roman" w:hAnsi="Times New Roman" w:cs="Times New Roman"/>
          <w:sz w:val="24"/>
          <w:szCs w:val="24"/>
          <w:lang w:val="en-GB"/>
        </w:rPr>
        <w:t xml:space="preserve"> state began in the 1960s in response to protracted economic stagnation. The</w:t>
      </w:r>
      <w:r w:rsidR="00891899" w:rsidRPr="00D9330B">
        <w:rPr>
          <w:rFonts w:ascii="Times New Roman" w:hAnsi="Times New Roman" w:cs="Times New Roman"/>
          <w:sz w:val="24"/>
          <w:szCs w:val="24"/>
          <w:lang w:val="en-GB"/>
        </w:rPr>
        <w:t xml:space="preserve"> changes were fier</w:t>
      </w:r>
      <w:r w:rsidR="00471701" w:rsidRPr="00D9330B">
        <w:rPr>
          <w:rFonts w:ascii="Times New Roman" w:hAnsi="Times New Roman" w:cs="Times New Roman"/>
          <w:sz w:val="24"/>
          <w:szCs w:val="24"/>
          <w:lang w:val="en-GB"/>
        </w:rPr>
        <w:t xml:space="preserve">cely resisted by </w:t>
      </w:r>
      <w:r w:rsidR="008D4B6F" w:rsidRPr="00D9330B">
        <w:rPr>
          <w:rFonts w:ascii="Times New Roman" w:hAnsi="Times New Roman" w:cs="Times New Roman"/>
          <w:sz w:val="24"/>
          <w:szCs w:val="24"/>
          <w:lang w:val="en-GB"/>
        </w:rPr>
        <w:t>beneficiaries of the country’s</w:t>
      </w:r>
      <w:r w:rsidR="00891899" w:rsidRPr="00D9330B">
        <w:rPr>
          <w:rFonts w:ascii="Times New Roman" w:hAnsi="Times New Roman" w:cs="Times New Roman"/>
          <w:sz w:val="24"/>
          <w:szCs w:val="24"/>
          <w:lang w:val="en-GB"/>
        </w:rPr>
        <w:t xml:space="preserve"> extensive welfare system and protected industrial sector.</w:t>
      </w:r>
      <w:r w:rsidR="00313D0A" w:rsidRPr="00D9330B">
        <w:rPr>
          <w:rFonts w:ascii="Times New Roman" w:hAnsi="Times New Roman" w:cs="Times New Roman"/>
          <w:sz w:val="24"/>
          <w:szCs w:val="24"/>
          <w:lang w:val="en-GB"/>
        </w:rPr>
        <w:t xml:space="preserve"> In the face of rising protest and political violence, </w:t>
      </w:r>
      <w:r w:rsidR="009B09B3" w:rsidRPr="00D9330B">
        <w:rPr>
          <w:rFonts w:ascii="Times New Roman" w:hAnsi="Times New Roman" w:cs="Times New Roman"/>
          <w:sz w:val="24"/>
          <w:szCs w:val="24"/>
          <w:lang w:val="en-GB"/>
        </w:rPr>
        <w:t xml:space="preserve">in the late 1960s </w:t>
      </w:r>
      <w:r w:rsidR="00313D0A" w:rsidRPr="00D9330B">
        <w:rPr>
          <w:rFonts w:ascii="Times New Roman" w:hAnsi="Times New Roman" w:cs="Times New Roman"/>
          <w:sz w:val="24"/>
          <w:szCs w:val="24"/>
          <w:lang w:val="en-GB"/>
        </w:rPr>
        <w:t>authoriti</w:t>
      </w:r>
      <w:r w:rsidR="009B09B3" w:rsidRPr="00D9330B">
        <w:rPr>
          <w:rFonts w:ascii="Times New Roman" w:hAnsi="Times New Roman" w:cs="Times New Roman"/>
          <w:sz w:val="24"/>
          <w:szCs w:val="24"/>
          <w:lang w:val="en-GB"/>
        </w:rPr>
        <w:t xml:space="preserve">es began to impose a series of authoritarian controls. The process culminated in </w:t>
      </w:r>
      <w:r w:rsidR="00891899" w:rsidRPr="00D9330B">
        <w:rPr>
          <w:rFonts w:ascii="Times New Roman" w:hAnsi="Times New Roman" w:cs="Times New Roman"/>
          <w:sz w:val="24"/>
          <w:szCs w:val="24"/>
          <w:lang w:val="en-GB"/>
        </w:rPr>
        <w:t>1973</w:t>
      </w:r>
      <w:r w:rsidR="00313D0A" w:rsidRPr="00D9330B">
        <w:rPr>
          <w:rFonts w:ascii="Times New Roman" w:hAnsi="Times New Roman" w:cs="Times New Roman"/>
          <w:sz w:val="24"/>
          <w:szCs w:val="24"/>
          <w:lang w:val="en-GB"/>
        </w:rPr>
        <w:t>, when</w:t>
      </w:r>
      <w:r w:rsidR="00891899" w:rsidRPr="00D9330B">
        <w:rPr>
          <w:rFonts w:ascii="Times New Roman" w:hAnsi="Times New Roman" w:cs="Times New Roman"/>
          <w:sz w:val="24"/>
          <w:szCs w:val="24"/>
          <w:lang w:val="en-GB"/>
        </w:rPr>
        <w:t xml:space="preserve"> </w:t>
      </w:r>
      <w:r w:rsidR="00DB31BA" w:rsidRPr="00D9330B">
        <w:rPr>
          <w:rFonts w:ascii="Times New Roman" w:hAnsi="Times New Roman" w:cs="Times New Roman"/>
          <w:sz w:val="24"/>
          <w:szCs w:val="24"/>
          <w:lang w:val="en-GB"/>
        </w:rPr>
        <w:t>the</w:t>
      </w:r>
      <w:r w:rsidR="00313D0A" w:rsidRPr="00D9330B">
        <w:rPr>
          <w:rFonts w:ascii="Times New Roman" w:hAnsi="Times New Roman" w:cs="Times New Roman"/>
          <w:sz w:val="24"/>
          <w:szCs w:val="24"/>
          <w:lang w:val="en-GB"/>
        </w:rPr>
        <w:t xml:space="preserve"> president</w:t>
      </w:r>
      <w:r w:rsidR="00891899" w:rsidRPr="00D9330B">
        <w:rPr>
          <w:rFonts w:ascii="Times New Roman" w:hAnsi="Times New Roman" w:cs="Times New Roman"/>
          <w:sz w:val="24"/>
          <w:szCs w:val="24"/>
          <w:lang w:val="en-GB"/>
        </w:rPr>
        <w:t xml:space="preserve"> shuttered Congress and decreed that the country would thenceforth be governed by a state c</w:t>
      </w:r>
      <w:r w:rsidR="00313D0A" w:rsidRPr="00D9330B">
        <w:rPr>
          <w:rFonts w:ascii="Times New Roman" w:hAnsi="Times New Roman" w:cs="Times New Roman"/>
          <w:sz w:val="24"/>
          <w:szCs w:val="24"/>
          <w:lang w:val="en-GB"/>
        </w:rPr>
        <w:t>ouncil dominated by the armed forces</w:t>
      </w:r>
      <w:r w:rsidR="00891899" w:rsidRPr="00D9330B">
        <w:rPr>
          <w:rFonts w:ascii="Times New Roman" w:hAnsi="Times New Roman" w:cs="Times New Roman"/>
          <w:sz w:val="24"/>
          <w:szCs w:val="24"/>
          <w:lang w:val="en-GB"/>
        </w:rPr>
        <w:t>. Under militar</w:t>
      </w:r>
      <w:r w:rsidRPr="00D9330B">
        <w:rPr>
          <w:rFonts w:ascii="Times New Roman" w:hAnsi="Times New Roman" w:cs="Times New Roman"/>
          <w:sz w:val="24"/>
          <w:szCs w:val="24"/>
          <w:lang w:val="en-GB"/>
        </w:rPr>
        <w:t>y rule</w:t>
      </w:r>
      <w:r w:rsidR="00313D0A" w:rsidRPr="00D9330B">
        <w:rPr>
          <w:rFonts w:ascii="Times New Roman" w:hAnsi="Times New Roman" w:cs="Times New Roman"/>
          <w:sz w:val="24"/>
          <w:szCs w:val="24"/>
          <w:lang w:val="en-GB"/>
        </w:rPr>
        <w:t xml:space="preserve"> authorities took</w:t>
      </w:r>
      <w:r w:rsidR="00891899" w:rsidRPr="00D9330B">
        <w:rPr>
          <w:rFonts w:ascii="Times New Roman" w:hAnsi="Times New Roman" w:cs="Times New Roman"/>
          <w:sz w:val="24"/>
          <w:szCs w:val="24"/>
          <w:lang w:val="en-GB"/>
        </w:rPr>
        <w:t xml:space="preserve"> measures to enforce fiscal discipline and also implemented certain structural reforms.</w:t>
      </w:r>
      <w:r w:rsidR="00891899" w:rsidRPr="00D9330B">
        <w:rPr>
          <w:rStyle w:val="FootnoteReference"/>
          <w:rFonts w:ascii="Times New Roman" w:hAnsi="Times New Roman" w:cs="Times New Roman"/>
          <w:sz w:val="24"/>
          <w:szCs w:val="24"/>
          <w:lang w:val="en-GB"/>
        </w:rPr>
        <w:footnoteReference w:id="67"/>
      </w:r>
      <w:r w:rsidR="00522BD3" w:rsidRPr="00D9330B">
        <w:rPr>
          <w:rFonts w:ascii="Times New Roman" w:hAnsi="Times New Roman" w:cs="Times New Roman"/>
          <w:sz w:val="24"/>
          <w:szCs w:val="24"/>
          <w:lang w:val="en-GB"/>
        </w:rPr>
        <w:t xml:space="preserve"> The</w:t>
      </w:r>
      <w:r w:rsidR="00891899" w:rsidRPr="00D9330B">
        <w:rPr>
          <w:rFonts w:ascii="Times New Roman" w:hAnsi="Times New Roman" w:cs="Times New Roman"/>
          <w:sz w:val="24"/>
          <w:szCs w:val="24"/>
          <w:lang w:val="en-GB"/>
        </w:rPr>
        <w:t xml:space="preserve"> generous social security system underwent changes aimed at containing costs and easing the burden on employers. Trade, finance, and labour markets were liberalised. These reforms</w:t>
      </w:r>
      <w:r w:rsidR="008D4B6F" w:rsidRPr="00D9330B">
        <w:rPr>
          <w:rFonts w:ascii="Times New Roman" w:hAnsi="Times New Roman" w:cs="Times New Roman"/>
          <w:sz w:val="24"/>
          <w:szCs w:val="24"/>
          <w:lang w:val="en-GB"/>
        </w:rPr>
        <w:t xml:space="preserve"> were</w:t>
      </w:r>
      <w:r w:rsidR="00891899" w:rsidRPr="00D9330B">
        <w:rPr>
          <w:rFonts w:ascii="Times New Roman" w:hAnsi="Times New Roman" w:cs="Times New Roman"/>
          <w:sz w:val="24"/>
          <w:szCs w:val="24"/>
          <w:lang w:val="en-GB"/>
        </w:rPr>
        <w:t xml:space="preserve"> milder than in Argentina and, especially, Chile, but they followed the same liberalising, anti-import substitution trend and they managed to halt the expansion of the state. The Uruguayan tax burden in the 1980s was nearly identical to what</w:t>
      </w:r>
      <w:r w:rsidR="00CC41A6" w:rsidRPr="00D9330B">
        <w:rPr>
          <w:rFonts w:ascii="Times New Roman" w:hAnsi="Times New Roman" w:cs="Times New Roman"/>
          <w:sz w:val="24"/>
          <w:szCs w:val="24"/>
          <w:lang w:val="en-GB"/>
        </w:rPr>
        <w:t xml:space="preserve"> it had been in the decades</w:t>
      </w:r>
      <w:r w:rsidR="00891899" w:rsidRPr="00D9330B">
        <w:rPr>
          <w:rFonts w:ascii="Times New Roman" w:hAnsi="Times New Roman" w:cs="Times New Roman"/>
          <w:sz w:val="24"/>
          <w:szCs w:val="24"/>
          <w:lang w:val="en-GB"/>
        </w:rPr>
        <w:t xml:space="preserve"> before the decline of democracy (see Table 2).</w:t>
      </w:r>
      <w:r w:rsidR="00313D0A" w:rsidRPr="00D9330B">
        <w:rPr>
          <w:rFonts w:ascii="Times New Roman" w:hAnsi="Times New Roman" w:cs="Times New Roman"/>
          <w:sz w:val="24"/>
          <w:szCs w:val="24"/>
          <w:lang w:val="en-GB"/>
        </w:rPr>
        <w:tab/>
      </w:r>
    </w:p>
    <w:p w:rsidR="008D4B6F" w:rsidRPr="00D9330B" w:rsidRDefault="008D4B6F" w:rsidP="008D4B6F">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lastRenderedPageBreak/>
        <w:t>While authoritarian rule brought the stagnation or reversal of tax burden growt</w:t>
      </w:r>
      <w:r w:rsidR="0083757E" w:rsidRPr="00D9330B">
        <w:rPr>
          <w:rFonts w:ascii="Times New Roman" w:hAnsi="Times New Roman" w:cs="Times New Roman"/>
          <w:sz w:val="24"/>
          <w:szCs w:val="24"/>
          <w:lang w:val="en-GB"/>
        </w:rPr>
        <w:t>h in the Southern Con</w:t>
      </w:r>
      <w:r w:rsidR="00D07977" w:rsidRPr="00D9330B">
        <w:rPr>
          <w:rFonts w:ascii="Times New Roman" w:hAnsi="Times New Roman" w:cs="Times New Roman"/>
          <w:sz w:val="24"/>
          <w:szCs w:val="24"/>
          <w:lang w:val="en-GB"/>
        </w:rPr>
        <w:t>e</w:t>
      </w:r>
      <w:r w:rsidR="002127D6" w:rsidRPr="00D9330B">
        <w:rPr>
          <w:rFonts w:ascii="Times New Roman" w:hAnsi="Times New Roman" w:cs="Times New Roman"/>
          <w:sz w:val="24"/>
          <w:szCs w:val="24"/>
          <w:lang w:val="en-GB"/>
        </w:rPr>
        <w:t>, it had</w:t>
      </w:r>
      <w:r w:rsidRPr="00D9330B">
        <w:rPr>
          <w:rFonts w:ascii="Times New Roman" w:hAnsi="Times New Roman" w:cs="Times New Roman"/>
          <w:sz w:val="24"/>
          <w:szCs w:val="24"/>
          <w:lang w:val="en-GB"/>
        </w:rPr>
        <w:t xml:space="preserve"> the opposite effect in Brazil. The initial priority of the new authorities in 1964 was short-term stabilisation, but in 1966 they set in motion an ambitious tax reform whose basic purpose, as discussed earlier, was to endow the state with the resources and incentives needed to stimulate economic growth.</w:t>
      </w:r>
      <w:r w:rsidRPr="00D9330B">
        <w:rPr>
          <w:rStyle w:val="FootnoteReference"/>
          <w:rFonts w:ascii="Times New Roman" w:hAnsi="Times New Roman" w:cs="Times New Roman"/>
          <w:sz w:val="24"/>
          <w:szCs w:val="24"/>
          <w:lang w:val="en-GB"/>
        </w:rPr>
        <w:footnoteReference w:id="68"/>
      </w:r>
      <w:r w:rsidRPr="00D9330B">
        <w:rPr>
          <w:rFonts w:ascii="Times New Roman" w:hAnsi="Times New Roman" w:cs="Times New Roman"/>
          <w:sz w:val="24"/>
          <w:szCs w:val="24"/>
          <w:lang w:val="en-GB"/>
        </w:rPr>
        <w:t xml:space="preserve"> The tax burden, which had averaged 17.2 per cent of GDP during the decade prior to the reform jumped to 24.7 per cent in the ten years following it.</w:t>
      </w:r>
      <w:r w:rsidRPr="00D9330B">
        <w:rPr>
          <w:rStyle w:val="FootnoteReference"/>
          <w:rFonts w:ascii="Times New Roman" w:hAnsi="Times New Roman" w:cs="Times New Roman"/>
          <w:sz w:val="24"/>
          <w:szCs w:val="24"/>
          <w:lang w:val="en-GB"/>
        </w:rPr>
        <w:footnoteReference w:id="69"/>
      </w:r>
      <w:r w:rsidRPr="00D9330B">
        <w:rPr>
          <w:rFonts w:ascii="Times New Roman" w:hAnsi="Times New Roman" w:cs="Times New Roman"/>
          <w:sz w:val="24"/>
          <w:szCs w:val="24"/>
          <w:lang w:val="en-GB"/>
        </w:rPr>
        <w:t xml:space="preserve"> Although income tax collection increased, on balance the reform was not progressive. After spiking upwa</w:t>
      </w:r>
      <w:r w:rsidR="00336A29" w:rsidRPr="00D9330B">
        <w:rPr>
          <w:rFonts w:ascii="Times New Roman" w:hAnsi="Times New Roman" w:cs="Times New Roman"/>
          <w:sz w:val="24"/>
          <w:szCs w:val="24"/>
          <w:lang w:val="en-GB"/>
        </w:rPr>
        <w:t>rd during the late</w:t>
      </w:r>
      <w:r w:rsidR="00A7773B">
        <w:rPr>
          <w:rFonts w:ascii="Times New Roman" w:hAnsi="Times New Roman" w:cs="Times New Roman"/>
          <w:sz w:val="24"/>
          <w:szCs w:val="24"/>
          <w:lang w:val="en-GB"/>
        </w:rPr>
        <w:t xml:space="preserve"> 1960s, the tax burden stabilis</w:t>
      </w:r>
      <w:r w:rsidRPr="00D9330B">
        <w:rPr>
          <w:rFonts w:ascii="Times New Roman" w:hAnsi="Times New Roman" w:cs="Times New Roman"/>
          <w:sz w:val="24"/>
          <w:szCs w:val="24"/>
          <w:lang w:val="en-GB"/>
        </w:rPr>
        <w:t xml:space="preserve">ed at about a quarter of GDP during the </w:t>
      </w:r>
      <w:r w:rsidR="00F17ED2" w:rsidRPr="00D9330B">
        <w:rPr>
          <w:rFonts w:ascii="Times New Roman" w:hAnsi="Times New Roman" w:cs="Times New Roman"/>
          <w:sz w:val="24"/>
          <w:szCs w:val="24"/>
          <w:lang w:val="en-GB"/>
        </w:rPr>
        <w:t>remainder of the military era</w:t>
      </w:r>
      <w:r w:rsidR="007473BF">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Higher tax revenues were part and parcel of a s</w:t>
      </w:r>
      <w:r w:rsidR="002E5123" w:rsidRPr="00D9330B">
        <w:rPr>
          <w:rFonts w:ascii="Times New Roman" w:hAnsi="Times New Roman" w:cs="Times New Roman"/>
          <w:sz w:val="24"/>
          <w:szCs w:val="24"/>
          <w:lang w:val="en-GB"/>
        </w:rPr>
        <w:t>trongly interventionist</w:t>
      </w:r>
      <w:r w:rsidR="00A7773B">
        <w:rPr>
          <w:rFonts w:ascii="Times New Roman" w:hAnsi="Times New Roman" w:cs="Times New Roman"/>
          <w:sz w:val="24"/>
          <w:szCs w:val="24"/>
          <w:lang w:val="en-GB"/>
        </w:rPr>
        <w:t xml:space="preserve"> policy featuring subsidis</w:t>
      </w:r>
      <w:r w:rsidRPr="00D9330B">
        <w:rPr>
          <w:rFonts w:ascii="Times New Roman" w:hAnsi="Times New Roman" w:cs="Times New Roman"/>
          <w:sz w:val="24"/>
          <w:szCs w:val="24"/>
          <w:lang w:val="en-GB"/>
        </w:rPr>
        <w:t>ed credit, infrastructure investments, tax incentives and direct state involvement in production.</w:t>
      </w:r>
      <w:r w:rsidRPr="00D9330B">
        <w:rPr>
          <w:rStyle w:val="FootnoteReference"/>
          <w:rFonts w:ascii="Times New Roman" w:hAnsi="Times New Roman" w:cs="Times New Roman"/>
          <w:sz w:val="24"/>
          <w:szCs w:val="24"/>
          <w:lang w:val="en-GB"/>
        </w:rPr>
        <w:footnoteReference w:id="70"/>
      </w:r>
    </w:p>
    <w:p w:rsidR="00CB63E6" w:rsidRPr="00D9330B" w:rsidRDefault="00E328C3" w:rsidP="00A07E5F">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 xml:space="preserve">The </w:t>
      </w:r>
      <w:r w:rsidR="006F0E38" w:rsidRPr="00D9330B">
        <w:rPr>
          <w:rFonts w:ascii="Times New Roman" w:hAnsi="Times New Roman" w:cs="Times New Roman"/>
          <w:sz w:val="24"/>
          <w:szCs w:val="24"/>
          <w:lang w:val="en-GB"/>
        </w:rPr>
        <w:t xml:space="preserve">difference between the economic policies of the Southern Cone dictatorships, on the one hand, and Brazil’s, on the other, </w:t>
      </w:r>
      <w:r w:rsidRPr="00D9330B">
        <w:rPr>
          <w:rFonts w:ascii="Times New Roman" w:hAnsi="Times New Roman" w:cs="Times New Roman"/>
          <w:sz w:val="24"/>
          <w:szCs w:val="24"/>
          <w:lang w:val="en-GB"/>
        </w:rPr>
        <w:t xml:space="preserve">can best be understood as a function of </w:t>
      </w:r>
      <w:r w:rsidR="006F0E38" w:rsidRPr="00D9330B">
        <w:rPr>
          <w:rFonts w:ascii="Times New Roman" w:hAnsi="Times New Roman" w:cs="Times New Roman"/>
          <w:sz w:val="24"/>
          <w:szCs w:val="24"/>
          <w:lang w:val="en-GB"/>
        </w:rPr>
        <w:t>the social class dynamics of state expansion in the decades preceding the military seizures of power. In all th</w:t>
      </w:r>
      <w:r w:rsidR="00307428" w:rsidRPr="00D9330B">
        <w:rPr>
          <w:rFonts w:ascii="Times New Roman" w:hAnsi="Times New Roman" w:cs="Times New Roman"/>
          <w:sz w:val="24"/>
          <w:szCs w:val="24"/>
          <w:lang w:val="en-GB"/>
        </w:rPr>
        <w:t>ree Southern Cone countries</w:t>
      </w:r>
      <w:r w:rsidR="006F0E38" w:rsidRPr="00D9330B">
        <w:rPr>
          <w:rFonts w:ascii="Times New Roman" w:hAnsi="Times New Roman" w:cs="Times New Roman"/>
          <w:sz w:val="24"/>
          <w:szCs w:val="24"/>
          <w:lang w:val="en-GB"/>
        </w:rPr>
        <w:t xml:space="preserve"> the grow</w:t>
      </w:r>
      <w:r w:rsidR="0023569E" w:rsidRPr="00D9330B">
        <w:rPr>
          <w:rFonts w:ascii="Times New Roman" w:hAnsi="Times New Roman" w:cs="Times New Roman"/>
          <w:sz w:val="24"/>
          <w:szCs w:val="24"/>
          <w:lang w:val="en-GB"/>
        </w:rPr>
        <w:t>th of the public sector was</w:t>
      </w:r>
      <w:r w:rsidR="006F0E38" w:rsidRPr="00D9330B">
        <w:rPr>
          <w:rFonts w:ascii="Times New Roman" w:hAnsi="Times New Roman" w:cs="Times New Roman"/>
          <w:sz w:val="24"/>
          <w:szCs w:val="24"/>
          <w:lang w:val="en-GB"/>
        </w:rPr>
        <w:t xml:space="preserve"> propelled to a very substantial extent by the demands of non-elites for </w:t>
      </w:r>
      <w:r w:rsidR="00BF7F42" w:rsidRPr="00D9330B">
        <w:rPr>
          <w:rFonts w:ascii="Times New Roman" w:hAnsi="Times New Roman" w:cs="Times New Roman"/>
          <w:sz w:val="24"/>
          <w:szCs w:val="24"/>
          <w:lang w:val="en-GB"/>
        </w:rPr>
        <w:t>socio</w:t>
      </w:r>
      <w:r w:rsidR="006F0E38" w:rsidRPr="00D9330B">
        <w:rPr>
          <w:rFonts w:ascii="Times New Roman" w:hAnsi="Times New Roman" w:cs="Times New Roman"/>
          <w:sz w:val="24"/>
          <w:szCs w:val="24"/>
          <w:lang w:val="en-GB"/>
        </w:rPr>
        <w:t>economic benefits, including</w:t>
      </w:r>
      <w:r w:rsidR="00A07E5F" w:rsidRPr="00D9330B">
        <w:rPr>
          <w:rFonts w:ascii="Times New Roman" w:hAnsi="Times New Roman" w:cs="Times New Roman"/>
          <w:sz w:val="24"/>
          <w:szCs w:val="24"/>
          <w:lang w:val="en-GB"/>
        </w:rPr>
        <w:t xml:space="preserve"> pensions, healthcare,</w:t>
      </w:r>
      <w:r w:rsidR="002E5123" w:rsidRPr="00D9330B">
        <w:rPr>
          <w:rFonts w:ascii="Times New Roman" w:hAnsi="Times New Roman" w:cs="Times New Roman"/>
          <w:sz w:val="24"/>
          <w:szCs w:val="24"/>
          <w:lang w:val="en-GB"/>
        </w:rPr>
        <w:t xml:space="preserve"> and jobs. Those</w:t>
      </w:r>
      <w:r w:rsidR="006F0E38" w:rsidRPr="00D9330B">
        <w:rPr>
          <w:rFonts w:ascii="Times New Roman" w:hAnsi="Times New Roman" w:cs="Times New Roman"/>
          <w:sz w:val="24"/>
          <w:szCs w:val="24"/>
          <w:lang w:val="en-GB"/>
        </w:rPr>
        <w:t xml:space="preserve"> who received these benefit</w:t>
      </w:r>
      <w:r w:rsidR="00A07E5F" w:rsidRPr="00D9330B">
        <w:rPr>
          <w:rFonts w:ascii="Times New Roman" w:hAnsi="Times New Roman" w:cs="Times New Roman"/>
          <w:sz w:val="24"/>
          <w:szCs w:val="24"/>
          <w:lang w:val="en-GB"/>
        </w:rPr>
        <w:t xml:space="preserve">s were </w:t>
      </w:r>
      <w:r w:rsidR="00052DB6" w:rsidRPr="00D9330B">
        <w:rPr>
          <w:rFonts w:ascii="Times New Roman" w:hAnsi="Times New Roman" w:cs="Times New Roman"/>
          <w:sz w:val="24"/>
          <w:szCs w:val="24"/>
          <w:lang w:val="en-GB"/>
        </w:rPr>
        <w:t>typically not the</w:t>
      </w:r>
      <w:r w:rsidR="0023569E" w:rsidRPr="00D9330B">
        <w:rPr>
          <w:rFonts w:ascii="Times New Roman" w:hAnsi="Times New Roman" w:cs="Times New Roman"/>
          <w:sz w:val="24"/>
          <w:szCs w:val="24"/>
          <w:lang w:val="en-GB"/>
        </w:rPr>
        <w:t xml:space="preserve"> poor</w:t>
      </w:r>
      <w:r w:rsidR="00CC41A6" w:rsidRPr="00D9330B">
        <w:rPr>
          <w:rFonts w:ascii="Times New Roman" w:hAnsi="Times New Roman" w:cs="Times New Roman"/>
          <w:sz w:val="24"/>
          <w:szCs w:val="24"/>
          <w:lang w:val="en-GB"/>
        </w:rPr>
        <w:t>est segments of the population</w:t>
      </w:r>
      <w:r w:rsidR="0023569E" w:rsidRPr="00D9330B">
        <w:rPr>
          <w:rFonts w:ascii="Times New Roman" w:hAnsi="Times New Roman" w:cs="Times New Roman"/>
          <w:sz w:val="24"/>
          <w:szCs w:val="24"/>
          <w:lang w:val="en-GB"/>
        </w:rPr>
        <w:t>. Rather they belonged to</w:t>
      </w:r>
      <w:r w:rsidR="002E5123" w:rsidRPr="00D9330B">
        <w:rPr>
          <w:rFonts w:ascii="Times New Roman" w:hAnsi="Times New Roman" w:cs="Times New Roman"/>
          <w:sz w:val="24"/>
          <w:szCs w:val="24"/>
          <w:lang w:val="en-GB"/>
        </w:rPr>
        <w:t xml:space="preserve"> social groups, generally urban, whose</w:t>
      </w:r>
      <w:r w:rsidR="00A07E5F" w:rsidRPr="00D9330B">
        <w:rPr>
          <w:rFonts w:ascii="Times New Roman" w:hAnsi="Times New Roman" w:cs="Times New Roman"/>
          <w:sz w:val="24"/>
          <w:szCs w:val="24"/>
          <w:lang w:val="en-GB"/>
        </w:rPr>
        <w:t xml:space="preserve"> </w:t>
      </w:r>
      <w:r w:rsidR="00052DB6" w:rsidRPr="00D9330B">
        <w:rPr>
          <w:rFonts w:ascii="Times New Roman" w:hAnsi="Times New Roman" w:cs="Times New Roman"/>
          <w:sz w:val="24"/>
          <w:szCs w:val="24"/>
          <w:lang w:val="en-GB"/>
        </w:rPr>
        <w:t xml:space="preserve">salaried </w:t>
      </w:r>
      <w:r w:rsidR="00A07E5F" w:rsidRPr="00D9330B">
        <w:rPr>
          <w:rFonts w:ascii="Times New Roman" w:hAnsi="Times New Roman" w:cs="Times New Roman"/>
          <w:sz w:val="24"/>
          <w:szCs w:val="24"/>
          <w:lang w:val="en-GB"/>
        </w:rPr>
        <w:t>position</w:t>
      </w:r>
      <w:r w:rsidR="00052DB6" w:rsidRPr="00D9330B">
        <w:rPr>
          <w:rFonts w:ascii="Times New Roman" w:hAnsi="Times New Roman" w:cs="Times New Roman"/>
          <w:sz w:val="24"/>
          <w:szCs w:val="24"/>
          <w:lang w:val="en-GB"/>
        </w:rPr>
        <w:t>s</w:t>
      </w:r>
      <w:r w:rsidR="00A07E5F" w:rsidRPr="00D9330B">
        <w:rPr>
          <w:rFonts w:ascii="Times New Roman" w:hAnsi="Times New Roman" w:cs="Times New Roman"/>
          <w:sz w:val="24"/>
          <w:szCs w:val="24"/>
          <w:lang w:val="en-GB"/>
        </w:rPr>
        <w:t xml:space="preserve"> in </w:t>
      </w:r>
      <w:r w:rsidR="00A07E5F" w:rsidRPr="00D9330B">
        <w:rPr>
          <w:rFonts w:ascii="Times New Roman" w:hAnsi="Times New Roman" w:cs="Times New Roman"/>
          <w:sz w:val="24"/>
          <w:szCs w:val="24"/>
          <w:lang w:val="en-GB"/>
        </w:rPr>
        <w:lastRenderedPageBreak/>
        <w:t xml:space="preserve">the private or public </w:t>
      </w:r>
      <w:r w:rsidR="0023569E" w:rsidRPr="00D9330B">
        <w:rPr>
          <w:rFonts w:ascii="Times New Roman" w:hAnsi="Times New Roman" w:cs="Times New Roman"/>
          <w:sz w:val="24"/>
          <w:szCs w:val="24"/>
          <w:lang w:val="en-GB"/>
        </w:rPr>
        <w:t>sector facilitated</w:t>
      </w:r>
      <w:r w:rsidR="00052DB6" w:rsidRPr="00D9330B">
        <w:rPr>
          <w:rFonts w:ascii="Times New Roman" w:hAnsi="Times New Roman" w:cs="Times New Roman"/>
          <w:sz w:val="24"/>
          <w:szCs w:val="24"/>
          <w:lang w:val="en-GB"/>
        </w:rPr>
        <w:t xml:space="preserve"> organis</w:t>
      </w:r>
      <w:r w:rsidR="002E5123" w:rsidRPr="00D9330B">
        <w:rPr>
          <w:rFonts w:ascii="Times New Roman" w:hAnsi="Times New Roman" w:cs="Times New Roman"/>
          <w:sz w:val="24"/>
          <w:szCs w:val="24"/>
          <w:lang w:val="en-GB"/>
        </w:rPr>
        <w:t>ation into labour unions and</w:t>
      </w:r>
      <w:r w:rsidR="00EC3532" w:rsidRPr="00D9330B">
        <w:rPr>
          <w:rFonts w:ascii="Times New Roman" w:hAnsi="Times New Roman" w:cs="Times New Roman"/>
          <w:sz w:val="24"/>
          <w:szCs w:val="24"/>
          <w:lang w:val="en-GB"/>
        </w:rPr>
        <w:t xml:space="preserve"> professional associations and</w:t>
      </w:r>
      <w:r w:rsidR="002E5123" w:rsidRPr="00D9330B">
        <w:rPr>
          <w:rFonts w:ascii="Times New Roman" w:hAnsi="Times New Roman" w:cs="Times New Roman"/>
          <w:sz w:val="24"/>
          <w:szCs w:val="24"/>
          <w:lang w:val="en-GB"/>
        </w:rPr>
        <w:t xml:space="preserve"> whose</w:t>
      </w:r>
      <w:r w:rsidR="0023569E" w:rsidRPr="00D9330B">
        <w:rPr>
          <w:rFonts w:ascii="Times New Roman" w:hAnsi="Times New Roman" w:cs="Times New Roman"/>
          <w:sz w:val="24"/>
          <w:szCs w:val="24"/>
          <w:lang w:val="en-GB"/>
        </w:rPr>
        <w:t xml:space="preserve"> income and po</w:t>
      </w:r>
      <w:r w:rsidR="002127D6" w:rsidRPr="00D9330B">
        <w:rPr>
          <w:rFonts w:ascii="Times New Roman" w:hAnsi="Times New Roman" w:cs="Times New Roman"/>
          <w:sz w:val="24"/>
          <w:szCs w:val="24"/>
          <w:lang w:val="en-GB"/>
        </w:rPr>
        <w:t>litical knowledge made them relatively</w:t>
      </w:r>
      <w:r w:rsidR="0023569E" w:rsidRPr="00D9330B">
        <w:rPr>
          <w:rFonts w:ascii="Times New Roman" w:hAnsi="Times New Roman" w:cs="Times New Roman"/>
          <w:sz w:val="24"/>
          <w:szCs w:val="24"/>
          <w:lang w:val="en-GB"/>
        </w:rPr>
        <w:t xml:space="preserve"> </w:t>
      </w:r>
      <w:r w:rsidR="002127D6" w:rsidRPr="00D9330B">
        <w:rPr>
          <w:rFonts w:ascii="Times New Roman" w:hAnsi="Times New Roman" w:cs="Times New Roman"/>
          <w:sz w:val="24"/>
          <w:szCs w:val="24"/>
          <w:lang w:val="en-GB"/>
        </w:rPr>
        <w:t>un</w:t>
      </w:r>
      <w:r w:rsidR="0023569E" w:rsidRPr="00D9330B">
        <w:rPr>
          <w:rFonts w:ascii="Times New Roman" w:hAnsi="Times New Roman" w:cs="Times New Roman"/>
          <w:sz w:val="24"/>
          <w:szCs w:val="24"/>
          <w:lang w:val="en-GB"/>
        </w:rPr>
        <w:t xml:space="preserve">susceptible to petty </w:t>
      </w:r>
      <w:proofErr w:type="spellStart"/>
      <w:r w:rsidR="0023569E" w:rsidRPr="00D9330B">
        <w:rPr>
          <w:rFonts w:ascii="Times New Roman" w:hAnsi="Times New Roman" w:cs="Times New Roman"/>
          <w:sz w:val="24"/>
          <w:szCs w:val="24"/>
          <w:lang w:val="en-GB"/>
        </w:rPr>
        <w:t>clientelism</w:t>
      </w:r>
      <w:proofErr w:type="spellEnd"/>
      <w:r w:rsidR="0023569E" w:rsidRPr="00D9330B">
        <w:rPr>
          <w:rFonts w:ascii="Times New Roman" w:hAnsi="Times New Roman" w:cs="Times New Roman"/>
          <w:sz w:val="24"/>
          <w:szCs w:val="24"/>
          <w:lang w:val="en-GB"/>
        </w:rPr>
        <w:t>.</w:t>
      </w:r>
      <w:r w:rsidR="00AA7B4F" w:rsidRPr="00D9330B">
        <w:rPr>
          <w:rFonts w:ascii="Times New Roman" w:hAnsi="Times New Roman" w:cs="Times New Roman"/>
          <w:sz w:val="24"/>
          <w:szCs w:val="24"/>
          <w:lang w:val="en-GB"/>
        </w:rPr>
        <w:t xml:space="preserve"> They included, for example,</w:t>
      </w:r>
      <w:r w:rsidR="00A07E5F" w:rsidRPr="00D9330B">
        <w:rPr>
          <w:rFonts w:ascii="Times New Roman" w:hAnsi="Times New Roman" w:cs="Times New Roman"/>
          <w:sz w:val="24"/>
          <w:szCs w:val="24"/>
          <w:lang w:val="en-GB"/>
        </w:rPr>
        <w:t xml:space="preserve"> facto</w:t>
      </w:r>
      <w:r w:rsidR="00522BD3" w:rsidRPr="00D9330B">
        <w:rPr>
          <w:rFonts w:ascii="Times New Roman" w:hAnsi="Times New Roman" w:cs="Times New Roman"/>
          <w:sz w:val="24"/>
          <w:szCs w:val="24"/>
          <w:lang w:val="en-GB"/>
        </w:rPr>
        <w:t>ry workers, bank clerks,</w:t>
      </w:r>
      <w:r w:rsidR="002F672E" w:rsidRPr="00D9330B">
        <w:rPr>
          <w:rFonts w:ascii="Times New Roman" w:hAnsi="Times New Roman" w:cs="Times New Roman"/>
          <w:sz w:val="24"/>
          <w:szCs w:val="24"/>
          <w:lang w:val="en-GB"/>
        </w:rPr>
        <w:t xml:space="preserve"> teachers,</w:t>
      </w:r>
      <w:r w:rsidR="00052DB6" w:rsidRPr="00D9330B">
        <w:rPr>
          <w:rFonts w:ascii="Times New Roman" w:hAnsi="Times New Roman" w:cs="Times New Roman"/>
          <w:sz w:val="24"/>
          <w:szCs w:val="24"/>
          <w:lang w:val="en-GB"/>
        </w:rPr>
        <w:t xml:space="preserve"> and</w:t>
      </w:r>
      <w:r w:rsidR="0023569E" w:rsidRPr="00D9330B">
        <w:rPr>
          <w:rFonts w:ascii="Times New Roman" w:hAnsi="Times New Roman" w:cs="Times New Roman"/>
          <w:sz w:val="24"/>
          <w:szCs w:val="24"/>
          <w:lang w:val="en-GB"/>
        </w:rPr>
        <w:t xml:space="preserve"> civil servants</w:t>
      </w:r>
      <w:r w:rsidR="002F672E" w:rsidRPr="00D9330B">
        <w:rPr>
          <w:rFonts w:ascii="Times New Roman" w:hAnsi="Times New Roman" w:cs="Times New Roman"/>
          <w:sz w:val="24"/>
          <w:szCs w:val="24"/>
          <w:lang w:val="en-GB"/>
        </w:rPr>
        <w:t>. They exerted their influence both through the threat of labour action and their e</w:t>
      </w:r>
      <w:r w:rsidR="00743F68" w:rsidRPr="00D9330B">
        <w:rPr>
          <w:rFonts w:ascii="Times New Roman" w:hAnsi="Times New Roman" w:cs="Times New Roman"/>
          <w:sz w:val="24"/>
          <w:szCs w:val="24"/>
          <w:lang w:val="en-GB"/>
        </w:rPr>
        <w:t>lectoral importance to</w:t>
      </w:r>
      <w:r w:rsidR="002F672E" w:rsidRPr="00D9330B">
        <w:rPr>
          <w:rFonts w:ascii="Times New Roman" w:hAnsi="Times New Roman" w:cs="Times New Roman"/>
          <w:sz w:val="24"/>
          <w:szCs w:val="24"/>
          <w:lang w:val="en-GB"/>
        </w:rPr>
        <w:t xml:space="preserve"> parties, especially those with a</w:t>
      </w:r>
      <w:r w:rsidR="00E07585" w:rsidRPr="00D9330B">
        <w:rPr>
          <w:rFonts w:ascii="Times New Roman" w:hAnsi="Times New Roman" w:cs="Times New Roman"/>
          <w:sz w:val="24"/>
          <w:szCs w:val="24"/>
          <w:lang w:val="en-GB"/>
        </w:rPr>
        <w:t xml:space="preserve"> populist or leftist bent</w:t>
      </w:r>
      <w:r w:rsidR="002F672E" w:rsidRPr="00D9330B">
        <w:rPr>
          <w:rFonts w:ascii="Times New Roman" w:hAnsi="Times New Roman" w:cs="Times New Roman"/>
          <w:sz w:val="24"/>
          <w:szCs w:val="24"/>
          <w:lang w:val="en-GB"/>
        </w:rPr>
        <w:t xml:space="preserve">, including the </w:t>
      </w:r>
      <w:proofErr w:type="spellStart"/>
      <w:r w:rsidR="002F672E" w:rsidRPr="00D9330B">
        <w:rPr>
          <w:rFonts w:ascii="Times New Roman" w:hAnsi="Times New Roman" w:cs="Times New Roman"/>
          <w:i/>
          <w:sz w:val="24"/>
          <w:szCs w:val="24"/>
          <w:lang w:val="en-GB"/>
        </w:rPr>
        <w:t>Peronista</w:t>
      </w:r>
      <w:proofErr w:type="spellEnd"/>
      <w:r w:rsidR="002F672E" w:rsidRPr="00D9330B">
        <w:rPr>
          <w:rFonts w:ascii="Times New Roman" w:hAnsi="Times New Roman" w:cs="Times New Roman"/>
          <w:sz w:val="24"/>
          <w:szCs w:val="24"/>
          <w:lang w:val="en-GB"/>
        </w:rPr>
        <w:t xml:space="preserve"> Party in Argentina, the Communist and Socialist parties in Chile and the Colorado Party (especially its</w:t>
      </w:r>
      <w:r w:rsidR="003A1EBB" w:rsidRPr="00D9330B">
        <w:rPr>
          <w:rFonts w:ascii="Times New Roman" w:hAnsi="Times New Roman" w:cs="Times New Roman"/>
          <w:sz w:val="24"/>
          <w:szCs w:val="24"/>
          <w:lang w:val="en-GB"/>
        </w:rPr>
        <w:t xml:space="preserve"> left-leaning</w:t>
      </w:r>
      <w:r w:rsidR="002F672E" w:rsidRPr="00D9330B">
        <w:rPr>
          <w:rFonts w:ascii="Times New Roman" w:hAnsi="Times New Roman" w:cs="Times New Roman"/>
          <w:sz w:val="24"/>
          <w:szCs w:val="24"/>
          <w:lang w:val="en-GB"/>
        </w:rPr>
        <w:t xml:space="preserve"> </w:t>
      </w:r>
      <w:proofErr w:type="spellStart"/>
      <w:r w:rsidR="007B6C9B" w:rsidRPr="00D9330B">
        <w:rPr>
          <w:rFonts w:ascii="Times New Roman" w:hAnsi="Times New Roman" w:cs="Times New Roman"/>
          <w:i/>
          <w:sz w:val="24"/>
          <w:szCs w:val="24"/>
          <w:lang w:val="en-GB"/>
        </w:rPr>
        <w:t>b</w:t>
      </w:r>
      <w:r w:rsidR="002F672E" w:rsidRPr="00D9330B">
        <w:rPr>
          <w:rFonts w:ascii="Times New Roman" w:hAnsi="Times New Roman" w:cs="Times New Roman"/>
          <w:i/>
          <w:sz w:val="24"/>
          <w:szCs w:val="24"/>
          <w:lang w:val="en-GB"/>
        </w:rPr>
        <w:t>atllista</w:t>
      </w:r>
      <w:proofErr w:type="spellEnd"/>
      <w:r w:rsidR="002F672E" w:rsidRPr="00D9330B">
        <w:rPr>
          <w:rFonts w:ascii="Times New Roman" w:hAnsi="Times New Roman" w:cs="Times New Roman"/>
          <w:sz w:val="24"/>
          <w:szCs w:val="24"/>
          <w:lang w:val="en-GB"/>
        </w:rPr>
        <w:t xml:space="preserve"> current) in Uruguay.</w:t>
      </w:r>
    </w:p>
    <w:p w:rsidR="00A91837" w:rsidRPr="00D9330B" w:rsidRDefault="00AA7B4F" w:rsidP="00A91837">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 influence of these gr</w:t>
      </w:r>
      <w:r w:rsidR="00743F68" w:rsidRPr="00D9330B">
        <w:rPr>
          <w:rFonts w:ascii="Times New Roman" w:hAnsi="Times New Roman" w:cs="Times New Roman"/>
          <w:sz w:val="24"/>
          <w:szCs w:val="24"/>
          <w:lang w:val="en-GB"/>
        </w:rPr>
        <w:t>oups was</w:t>
      </w:r>
      <w:r w:rsidRPr="00D9330B">
        <w:rPr>
          <w:rFonts w:ascii="Times New Roman" w:hAnsi="Times New Roman" w:cs="Times New Roman"/>
          <w:sz w:val="24"/>
          <w:szCs w:val="24"/>
          <w:lang w:val="en-GB"/>
        </w:rPr>
        <w:t xml:space="preserve"> reflected in the large scale attaine</w:t>
      </w:r>
      <w:r w:rsidR="001E4C13" w:rsidRPr="00D9330B">
        <w:rPr>
          <w:rFonts w:ascii="Times New Roman" w:hAnsi="Times New Roman" w:cs="Times New Roman"/>
          <w:sz w:val="24"/>
          <w:szCs w:val="24"/>
          <w:lang w:val="en-GB"/>
        </w:rPr>
        <w:t>d by</w:t>
      </w:r>
      <w:r w:rsidRPr="00D9330B">
        <w:rPr>
          <w:rFonts w:ascii="Times New Roman" w:hAnsi="Times New Roman" w:cs="Times New Roman"/>
          <w:sz w:val="24"/>
          <w:szCs w:val="24"/>
          <w:lang w:val="en-GB"/>
        </w:rPr>
        <w:t xml:space="preserve"> social securit</w:t>
      </w:r>
      <w:r w:rsidR="0023569E" w:rsidRPr="00D9330B">
        <w:rPr>
          <w:rFonts w:ascii="Times New Roman" w:hAnsi="Times New Roman" w:cs="Times New Roman"/>
          <w:sz w:val="24"/>
          <w:szCs w:val="24"/>
          <w:lang w:val="en-GB"/>
        </w:rPr>
        <w:t>y</w:t>
      </w:r>
      <w:r w:rsidRPr="00D9330B">
        <w:rPr>
          <w:rFonts w:ascii="Times New Roman" w:hAnsi="Times New Roman" w:cs="Times New Roman"/>
          <w:sz w:val="24"/>
          <w:szCs w:val="24"/>
          <w:lang w:val="en-GB"/>
        </w:rPr>
        <w:t>.</w:t>
      </w:r>
      <w:r w:rsidR="0023569E" w:rsidRPr="00D9330B">
        <w:rPr>
          <w:rFonts w:ascii="Times New Roman" w:hAnsi="Times New Roman" w:cs="Times New Roman"/>
          <w:sz w:val="24"/>
          <w:szCs w:val="24"/>
          <w:lang w:val="en-GB"/>
        </w:rPr>
        <w:t xml:space="preserve"> As Mesa-Lago has argued, the expansion of Latin American social security </w:t>
      </w:r>
      <w:r w:rsidR="00E07585" w:rsidRPr="00D9330B">
        <w:rPr>
          <w:rFonts w:ascii="Times New Roman" w:hAnsi="Times New Roman" w:cs="Times New Roman"/>
          <w:sz w:val="24"/>
          <w:szCs w:val="24"/>
          <w:lang w:val="en-GB"/>
        </w:rPr>
        <w:t>systems owed much to the</w:t>
      </w:r>
      <w:r w:rsidR="0023569E" w:rsidRPr="00D9330B">
        <w:rPr>
          <w:rFonts w:ascii="Times New Roman" w:hAnsi="Times New Roman" w:cs="Times New Roman"/>
          <w:sz w:val="24"/>
          <w:szCs w:val="24"/>
          <w:lang w:val="en-GB"/>
        </w:rPr>
        <w:t xml:space="preserve"> influence of organised ‘pressure groups’.</w:t>
      </w:r>
      <w:r w:rsidR="00810FE4" w:rsidRPr="00D9330B">
        <w:rPr>
          <w:rStyle w:val="FootnoteReference"/>
          <w:rFonts w:ascii="Times New Roman" w:hAnsi="Times New Roman" w:cs="Times New Roman"/>
          <w:sz w:val="24"/>
          <w:szCs w:val="24"/>
          <w:lang w:val="en-GB"/>
        </w:rPr>
        <w:t xml:space="preserve"> </w:t>
      </w:r>
      <w:r w:rsidR="00810FE4" w:rsidRPr="00D9330B">
        <w:rPr>
          <w:rStyle w:val="FootnoteReference"/>
          <w:rFonts w:ascii="Times New Roman" w:hAnsi="Times New Roman" w:cs="Times New Roman"/>
          <w:sz w:val="24"/>
          <w:szCs w:val="24"/>
          <w:lang w:val="en-GB"/>
        </w:rPr>
        <w:footnoteReference w:id="71"/>
      </w:r>
      <w:r w:rsidR="00E07585" w:rsidRPr="00D9330B">
        <w:rPr>
          <w:rFonts w:ascii="Times New Roman" w:hAnsi="Times New Roman" w:cs="Times New Roman"/>
          <w:sz w:val="24"/>
          <w:szCs w:val="24"/>
          <w:lang w:val="en-GB"/>
        </w:rPr>
        <w:t xml:space="preserve"> Although the initial appea</w:t>
      </w:r>
      <w:r w:rsidR="00752B3D" w:rsidRPr="00D9330B">
        <w:rPr>
          <w:rFonts w:ascii="Times New Roman" w:hAnsi="Times New Roman" w:cs="Times New Roman"/>
          <w:sz w:val="24"/>
          <w:szCs w:val="24"/>
          <w:lang w:val="en-GB"/>
        </w:rPr>
        <w:t>rance of these systems</w:t>
      </w:r>
      <w:r w:rsidR="00E07585" w:rsidRPr="00D9330B">
        <w:rPr>
          <w:rFonts w:ascii="Times New Roman" w:hAnsi="Times New Roman" w:cs="Times New Roman"/>
          <w:sz w:val="24"/>
          <w:szCs w:val="24"/>
          <w:lang w:val="en-GB"/>
        </w:rPr>
        <w:t xml:space="preserve"> catered to</w:t>
      </w:r>
      <w:r w:rsidR="002127D6" w:rsidRPr="00D9330B">
        <w:rPr>
          <w:rFonts w:ascii="Times New Roman" w:hAnsi="Times New Roman" w:cs="Times New Roman"/>
          <w:sz w:val="24"/>
          <w:szCs w:val="24"/>
          <w:lang w:val="en-GB"/>
        </w:rPr>
        <w:t xml:space="preserve"> relatively elite groups</w:t>
      </w:r>
      <w:r w:rsidR="00E07585" w:rsidRPr="00D9330B">
        <w:rPr>
          <w:rFonts w:ascii="Times New Roman" w:hAnsi="Times New Roman" w:cs="Times New Roman"/>
          <w:sz w:val="24"/>
          <w:szCs w:val="24"/>
          <w:lang w:val="en-GB"/>
        </w:rPr>
        <w:t>,</w:t>
      </w:r>
      <w:r w:rsidR="00752B3D" w:rsidRPr="00D9330B">
        <w:rPr>
          <w:rFonts w:ascii="Times New Roman" w:hAnsi="Times New Roman" w:cs="Times New Roman"/>
          <w:sz w:val="24"/>
          <w:szCs w:val="24"/>
          <w:lang w:val="en-GB"/>
        </w:rPr>
        <w:t xml:space="preserve"> their</w:t>
      </w:r>
      <w:r w:rsidR="00E07585" w:rsidRPr="00D9330B">
        <w:rPr>
          <w:rFonts w:ascii="Times New Roman" w:hAnsi="Times New Roman" w:cs="Times New Roman"/>
          <w:sz w:val="24"/>
          <w:szCs w:val="24"/>
          <w:lang w:val="en-GB"/>
        </w:rPr>
        <w:t xml:space="preserve"> s</w:t>
      </w:r>
      <w:r w:rsidR="00752B3D" w:rsidRPr="00D9330B">
        <w:rPr>
          <w:rFonts w:ascii="Times New Roman" w:hAnsi="Times New Roman" w:cs="Times New Roman"/>
          <w:sz w:val="24"/>
          <w:szCs w:val="24"/>
          <w:lang w:val="en-GB"/>
        </w:rPr>
        <w:t>ubsequ</w:t>
      </w:r>
      <w:r w:rsidR="000D420F" w:rsidRPr="00D9330B">
        <w:rPr>
          <w:rFonts w:ascii="Times New Roman" w:hAnsi="Times New Roman" w:cs="Times New Roman"/>
          <w:sz w:val="24"/>
          <w:szCs w:val="24"/>
          <w:lang w:val="en-GB"/>
        </w:rPr>
        <w:t>ent growth</w:t>
      </w:r>
      <w:r w:rsidR="00752B3D" w:rsidRPr="00D9330B">
        <w:rPr>
          <w:rFonts w:ascii="Times New Roman" w:hAnsi="Times New Roman" w:cs="Times New Roman"/>
          <w:sz w:val="24"/>
          <w:szCs w:val="24"/>
          <w:lang w:val="en-GB"/>
        </w:rPr>
        <w:t xml:space="preserve"> reflected</w:t>
      </w:r>
      <w:r w:rsidR="00E07585" w:rsidRPr="00D9330B">
        <w:rPr>
          <w:rFonts w:ascii="Times New Roman" w:hAnsi="Times New Roman" w:cs="Times New Roman"/>
          <w:sz w:val="24"/>
          <w:szCs w:val="24"/>
          <w:lang w:val="en-GB"/>
        </w:rPr>
        <w:t xml:space="preserve"> the</w:t>
      </w:r>
      <w:r w:rsidR="000D420F" w:rsidRPr="00D9330B">
        <w:rPr>
          <w:rFonts w:ascii="Times New Roman" w:hAnsi="Times New Roman" w:cs="Times New Roman"/>
          <w:sz w:val="24"/>
          <w:szCs w:val="24"/>
          <w:lang w:val="en-GB"/>
        </w:rPr>
        <w:t xml:space="preserve"> rising</w:t>
      </w:r>
      <w:r w:rsidR="00752B3D" w:rsidRPr="00D9330B">
        <w:rPr>
          <w:rFonts w:ascii="Times New Roman" w:hAnsi="Times New Roman" w:cs="Times New Roman"/>
          <w:sz w:val="24"/>
          <w:szCs w:val="24"/>
          <w:lang w:val="en-GB"/>
        </w:rPr>
        <w:t xml:space="preserve"> power of organis</w:t>
      </w:r>
      <w:r w:rsidR="00E07585" w:rsidRPr="00D9330B">
        <w:rPr>
          <w:rFonts w:ascii="Times New Roman" w:hAnsi="Times New Roman" w:cs="Times New Roman"/>
          <w:sz w:val="24"/>
          <w:szCs w:val="24"/>
          <w:lang w:val="en-GB"/>
        </w:rPr>
        <w:t>ed non-elite</w:t>
      </w:r>
      <w:r w:rsidR="00145988" w:rsidRPr="00D9330B">
        <w:rPr>
          <w:rFonts w:ascii="Times New Roman" w:hAnsi="Times New Roman" w:cs="Times New Roman"/>
          <w:sz w:val="24"/>
          <w:szCs w:val="24"/>
          <w:lang w:val="en-GB"/>
        </w:rPr>
        <w:t xml:space="preserve"> sector</w:t>
      </w:r>
      <w:r w:rsidR="002127D6" w:rsidRPr="00D9330B">
        <w:rPr>
          <w:rFonts w:ascii="Times New Roman" w:hAnsi="Times New Roman" w:cs="Times New Roman"/>
          <w:sz w:val="24"/>
          <w:szCs w:val="24"/>
          <w:lang w:val="en-GB"/>
        </w:rPr>
        <w:t>s</w:t>
      </w:r>
      <w:r w:rsidR="00FF1898" w:rsidRPr="00D9330B">
        <w:rPr>
          <w:rFonts w:ascii="Times New Roman" w:hAnsi="Times New Roman" w:cs="Times New Roman"/>
          <w:sz w:val="24"/>
          <w:szCs w:val="24"/>
          <w:lang w:val="en-GB"/>
        </w:rPr>
        <w:t>, such as the ones mentioned above</w:t>
      </w:r>
      <w:r w:rsidR="00E07585" w:rsidRPr="00D9330B">
        <w:rPr>
          <w:rFonts w:ascii="Times New Roman" w:hAnsi="Times New Roman" w:cs="Times New Roman"/>
          <w:sz w:val="24"/>
          <w:szCs w:val="24"/>
          <w:lang w:val="en-GB"/>
        </w:rPr>
        <w:t>. Social security may not have been redistributive on a society-wide basis, due to the exclusion or marginal inclusion of the poor, but it did succeed to some degree in redistributing res</w:t>
      </w:r>
      <w:r w:rsidR="00752B3D" w:rsidRPr="00D9330B">
        <w:rPr>
          <w:rFonts w:ascii="Times New Roman" w:hAnsi="Times New Roman" w:cs="Times New Roman"/>
          <w:sz w:val="24"/>
          <w:szCs w:val="24"/>
          <w:lang w:val="en-GB"/>
        </w:rPr>
        <w:t>ources from employers to organis</w:t>
      </w:r>
      <w:r w:rsidR="00E07585" w:rsidRPr="00D9330B">
        <w:rPr>
          <w:rFonts w:ascii="Times New Roman" w:hAnsi="Times New Roman" w:cs="Times New Roman"/>
          <w:sz w:val="24"/>
          <w:szCs w:val="24"/>
          <w:lang w:val="en-GB"/>
        </w:rPr>
        <w:t>ed workers.</w:t>
      </w:r>
      <w:r w:rsidR="00A91837" w:rsidRPr="00D9330B">
        <w:rPr>
          <w:rFonts w:ascii="Times New Roman" w:hAnsi="Times New Roman" w:cs="Times New Roman"/>
          <w:sz w:val="24"/>
          <w:szCs w:val="24"/>
          <w:lang w:val="en-GB"/>
        </w:rPr>
        <w:t xml:space="preserve"> </w:t>
      </w:r>
      <w:r w:rsidR="00743F68" w:rsidRPr="00D9330B">
        <w:rPr>
          <w:rFonts w:ascii="Times New Roman" w:hAnsi="Times New Roman" w:cs="Times New Roman"/>
          <w:sz w:val="24"/>
          <w:szCs w:val="24"/>
          <w:lang w:val="en-GB"/>
        </w:rPr>
        <w:t>As mentioned earlier, in all three Southern Cone countries social security revenues at their</w:t>
      </w:r>
      <w:r w:rsidR="00A91837" w:rsidRPr="00D9330B">
        <w:rPr>
          <w:rFonts w:ascii="Times New Roman" w:hAnsi="Times New Roman" w:cs="Times New Roman"/>
          <w:sz w:val="24"/>
          <w:szCs w:val="24"/>
          <w:lang w:val="en-GB"/>
        </w:rPr>
        <w:t xml:space="preserve"> pre-coup</w:t>
      </w:r>
      <w:r w:rsidR="00743F68" w:rsidRPr="00D9330B">
        <w:rPr>
          <w:rFonts w:ascii="Times New Roman" w:hAnsi="Times New Roman" w:cs="Times New Roman"/>
          <w:sz w:val="24"/>
          <w:szCs w:val="24"/>
          <w:lang w:val="en-GB"/>
        </w:rPr>
        <w:t xml:space="preserve"> peak approa</w:t>
      </w:r>
      <w:r w:rsidR="003B50F4">
        <w:rPr>
          <w:rFonts w:ascii="Times New Roman" w:hAnsi="Times New Roman" w:cs="Times New Roman"/>
          <w:sz w:val="24"/>
          <w:szCs w:val="24"/>
          <w:lang w:val="en-GB"/>
        </w:rPr>
        <w:t>ched or exceeded a third of total tax revenues</w:t>
      </w:r>
      <w:r w:rsidR="00743F68" w:rsidRPr="00D9330B">
        <w:rPr>
          <w:rFonts w:ascii="Times New Roman" w:hAnsi="Times New Roman" w:cs="Times New Roman"/>
          <w:sz w:val="24"/>
          <w:szCs w:val="24"/>
          <w:lang w:val="en-GB"/>
        </w:rPr>
        <w:t>. In Chile and Uruguay, wher</w:t>
      </w:r>
      <w:r w:rsidR="00084FA1" w:rsidRPr="00D9330B">
        <w:rPr>
          <w:rFonts w:ascii="Times New Roman" w:hAnsi="Times New Roman" w:cs="Times New Roman"/>
          <w:sz w:val="24"/>
          <w:szCs w:val="24"/>
          <w:lang w:val="en-GB"/>
        </w:rPr>
        <w:t>e democracy broke down later</w:t>
      </w:r>
      <w:r w:rsidR="00743F68" w:rsidRPr="00D9330B">
        <w:rPr>
          <w:rFonts w:ascii="Times New Roman" w:hAnsi="Times New Roman" w:cs="Times New Roman"/>
          <w:sz w:val="24"/>
          <w:szCs w:val="24"/>
          <w:lang w:val="en-GB"/>
        </w:rPr>
        <w:t xml:space="preserve"> than</w:t>
      </w:r>
      <w:r w:rsidR="001E4C13" w:rsidRPr="00D9330B">
        <w:rPr>
          <w:rFonts w:ascii="Times New Roman" w:hAnsi="Times New Roman" w:cs="Times New Roman"/>
          <w:sz w:val="24"/>
          <w:szCs w:val="24"/>
          <w:lang w:val="en-GB"/>
        </w:rPr>
        <w:t xml:space="preserve"> in</w:t>
      </w:r>
      <w:r w:rsidR="003B50F4">
        <w:rPr>
          <w:rFonts w:ascii="Times New Roman" w:hAnsi="Times New Roman" w:cs="Times New Roman"/>
          <w:sz w:val="24"/>
          <w:szCs w:val="24"/>
          <w:lang w:val="en-GB"/>
        </w:rPr>
        <w:t xml:space="preserve"> Argentina, they reached ten</w:t>
      </w:r>
      <w:r w:rsidR="00743F68" w:rsidRPr="00D9330B">
        <w:rPr>
          <w:rFonts w:ascii="Times New Roman" w:hAnsi="Times New Roman" w:cs="Times New Roman"/>
          <w:sz w:val="24"/>
          <w:szCs w:val="24"/>
          <w:lang w:val="en-GB"/>
        </w:rPr>
        <w:t xml:space="preserve"> per</w:t>
      </w:r>
      <w:r w:rsidR="008F489F">
        <w:rPr>
          <w:rFonts w:ascii="Times New Roman" w:hAnsi="Times New Roman" w:cs="Times New Roman"/>
          <w:sz w:val="24"/>
          <w:szCs w:val="24"/>
          <w:lang w:val="en-GB"/>
        </w:rPr>
        <w:t xml:space="preserve"> </w:t>
      </w:r>
      <w:r w:rsidR="00743F68" w:rsidRPr="00D9330B">
        <w:rPr>
          <w:rFonts w:ascii="Times New Roman" w:hAnsi="Times New Roman" w:cs="Times New Roman"/>
          <w:sz w:val="24"/>
          <w:szCs w:val="24"/>
          <w:lang w:val="en-GB"/>
        </w:rPr>
        <w:t>cent of GDP.</w:t>
      </w:r>
    </w:p>
    <w:p w:rsidR="009666D1" w:rsidRPr="00D9330B" w:rsidRDefault="009225EA" w:rsidP="00A91837">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These systems</w:t>
      </w:r>
      <w:r w:rsidR="009666D1" w:rsidRPr="00D9330B">
        <w:rPr>
          <w:rFonts w:ascii="Times New Roman" w:hAnsi="Times New Roman" w:cs="Times New Roman"/>
          <w:sz w:val="24"/>
          <w:szCs w:val="24"/>
          <w:lang w:val="en-GB"/>
        </w:rPr>
        <w:t xml:space="preserve"> ca</w:t>
      </w:r>
      <w:r w:rsidRPr="00D9330B">
        <w:rPr>
          <w:rFonts w:ascii="Times New Roman" w:hAnsi="Times New Roman" w:cs="Times New Roman"/>
          <w:sz w:val="24"/>
          <w:szCs w:val="24"/>
          <w:lang w:val="en-GB"/>
        </w:rPr>
        <w:t>me to be seen by economic elites</w:t>
      </w:r>
      <w:r w:rsidR="001D00DD" w:rsidRPr="00D9330B">
        <w:rPr>
          <w:rFonts w:ascii="Times New Roman" w:hAnsi="Times New Roman" w:cs="Times New Roman"/>
          <w:sz w:val="24"/>
          <w:szCs w:val="24"/>
          <w:lang w:val="en-GB"/>
        </w:rPr>
        <w:t xml:space="preserve"> and their </w:t>
      </w:r>
      <w:r w:rsidR="00AC2CFF" w:rsidRPr="00D9330B">
        <w:rPr>
          <w:rFonts w:ascii="Times New Roman" w:hAnsi="Times New Roman" w:cs="Times New Roman"/>
          <w:sz w:val="24"/>
          <w:szCs w:val="24"/>
          <w:lang w:val="en-GB"/>
        </w:rPr>
        <w:t>allies</w:t>
      </w:r>
      <w:r w:rsidRPr="00D9330B">
        <w:rPr>
          <w:rFonts w:ascii="Times New Roman" w:hAnsi="Times New Roman" w:cs="Times New Roman"/>
          <w:sz w:val="24"/>
          <w:szCs w:val="24"/>
          <w:lang w:val="en-GB"/>
        </w:rPr>
        <w:t xml:space="preserve"> as imposing an excessive burden on businesses and the sta</w:t>
      </w:r>
      <w:r w:rsidR="003B50F4">
        <w:rPr>
          <w:rFonts w:ascii="Times New Roman" w:hAnsi="Times New Roman" w:cs="Times New Roman"/>
          <w:sz w:val="24"/>
          <w:szCs w:val="24"/>
          <w:lang w:val="en-GB"/>
        </w:rPr>
        <w:t>te</w:t>
      </w:r>
      <w:r w:rsidRPr="00D9330B">
        <w:rPr>
          <w:rFonts w:ascii="Times New Roman" w:hAnsi="Times New Roman" w:cs="Times New Roman"/>
          <w:sz w:val="24"/>
          <w:szCs w:val="24"/>
          <w:lang w:val="en-GB"/>
        </w:rPr>
        <w:t>.</w:t>
      </w:r>
      <w:r w:rsidR="0012198E" w:rsidRPr="00D9330B">
        <w:rPr>
          <w:rFonts w:ascii="Times New Roman" w:hAnsi="Times New Roman" w:cs="Times New Roman"/>
          <w:sz w:val="24"/>
          <w:szCs w:val="24"/>
          <w:lang w:val="en-GB"/>
        </w:rPr>
        <w:t xml:space="preserve"> </w:t>
      </w:r>
      <w:r w:rsidR="001E4C13" w:rsidRPr="00D9330B">
        <w:rPr>
          <w:rFonts w:ascii="Times New Roman" w:hAnsi="Times New Roman" w:cs="Times New Roman"/>
          <w:sz w:val="24"/>
          <w:szCs w:val="24"/>
          <w:lang w:val="en-GB"/>
        </w:rPr>
        <w:t>The</w:t>
      </w:r>
      <w:r w:rsidR="00037752" w:rsidRPr="00D9330B">
        <w:rPr>
          <w:rFonts w:ascii="Times New Roman" w:hAnsi="Times New Roman" w:cs="Times New Roman"/>
          <w:sz w:val="24"/>
          <w:szCs w:val="24"/>
          <w:lang w:val="en-GB"/>
        </w:rPr>
        <w:t xml:space="preserve"> same groups</w:t>
      </w:r>
      <w:r w:rsidR="001E4C13" w:rsidRPr="00D9330B">
        <w:rPr>
          <w:rFonts w:ascii="Times New Roman" w:hAnsi="Times New Roman" w:cs="Times New Roman"/>
          <w:sz w:val="24"/>
          <w:szCs w:val="24"/>
          <w:lang w:val="en-GB"/>
        </w:rPr>
        <w:t xml:space="preserve"> that defended social security also</w:t>
      </w:r>
      <w:r w:rsidR="00037752" w:rsidRPr="00D9330B">
        <w:rPr>
          <w:rFonts w:ascii="Times New Roman" w:hAnsi="Times New Roman" w:cs="Times New Roman"/>
          <w:sz w:val="24"/>
          <w:szCs w:val="24"/>
          <w:lang w:val="en-GB"/>
        </w:rPr>
        <w:t xml:space="preserve"> t</w:t>
      </w:r>
      <w:r w:rsidR="00E76E7D" w:rsidRPr="00D9330B">
        <w:rPr>
          <w:rFonts w:ascii="Times New Roman" w:hAnsi="Times New Roman" w:cs="Times New Roman"/>
          <w:sz w:val="24"/>
          <w:szCs w:val="24"/>
          <w:lang w:val="en-GB"/>
        </w:rPr>
        <w:t>ended to support a</w:t>
      </w:r>
      <w:r w:rsidR="00037752" w:rsidRPr="00D9330B">
        <w:rPr>
          <w:rFonts w:ascii="Times New Roman" w:hAnsi="Times New Roman" w:cs="Times New Roman"/>
          <w:sz w:val="24"/>
          <w:szCs w:val="24"/>
          <w:lang w:val="en-GB"/>
        </w:rPr>
        <w:t xml:space="preserve"> stati</w:t>
      </w:r>
      <w:r w:rsidR="001E4C13" w:rsidRPr="00D9330B">
        <w:rPr>
          <w:rFonts w:ascii="Times New Roman" w:hAnsi="Times New Roman" w:cs="Times New Roman"/>
          <w:sz w:val="24"/>
          <w:szCs w:val="24"/>
          <w:lang w:val="en-GB"/>
        </w:rPr>
        <w:t>st</w:t>
      </w:r>
      <w:r w:rsidR="00B7483C" w:rsidRPr="00D9330B">
        <w:rPr>
          <w:rFonts w:ascii="Times New Roman" w:hAnsi="Times New Roman" w:cs="Times New Roman"/>
          <w:sz w:val="24"/>
          <w:szCs w:val="24"/>
          <w:lang w:val="en-GB"/>
        </w:rPr>
        <w:t xml:space="preserve"> development model</w:t>
      </w:r>
      <w:r w:rsidR="00FF1898" w:rsidRPr="00D9330B">
        <w:rPr>
          <w:rFonts w:ascii="Times New Roman" w:hAnsi="Times New Roman" w:cs="Times New Roman"/>
          <w:sz w:val="24"/>
          <w:szCs w:val="24"/>
          <w:lang w:val="en-GB"/>
        </w:rPr>
        <w:t xml:space="preserve"> that more liberal secto</w:t>
      </w:r>
      <w:r w:rsidR="007B6C9B" w:rsidRPr="00D9330B">
        <w:rPr>
          <w:rFonts w:ascii="Times New Roman" w:hAnsi="Times New Roman" w:cs="Times New Roman"/>
          <w:sz w:val="24"/>
          <w:szCs w:val="24"/>
          <w:lang w:val="en-GB"/>
        </w:rPr>
        <w:t>rs of the</w:t>
      </w:r>
      <w:r w:rsidR="00052DB6" w:rsidRPr="00D9330B">
        <w:rPr>
          <w:rFonts w:ascii="Times New Roman" w:hAnsi="Times New Roman" w:cs="Times New Roman"/>
          <w:sz w:val="24"/>
          <w:szCs w:val="24"/>
          <w:lang w:val="en-GB"/>
        </w:rPr>
        <w:t xml:space="preserve"> elite</w:t>
      </w:r>
      <w:r w:rsidR="00FF1898" w:rsidRPr="00D9330B">
        <w:rPr>
          <w:rFonts w:ascii="Times New Roman" w:hAnsi="Times New Roman" w:cs="Times New Roman"/>
          <w:sz w:val="24"/>
          <w:szCs w:val="24"/>
          <w:lang w:val="en-GB"/>
        </w:rPr>
        <w:t xml:space="preserve"> increasingly</w:t>
      </w:r>
      <w:r w:rsidR="00052DB6" w:rsidRPr="00D9330B">
        <w:rPr>
          <w:rFonts w:ascii="Times New Roman" w:hAnsi="Times New Roman" w:cs="Times New Roman"/>
          <w:sz w:val="24"/>
          <w:szCs w:val="24"/>
          <w:lang w:val="en-GB"/>
        </w:rPr>
        <w:t xml:space="preserve"> </w:t>
      </w:r>
      <w:r w:rsidR="001E4C13" w:rsidRPr="00D9330B">
        <w:rPr>
          <w:rFonts w:ascii="Times New Roman" w:hAnsi="Times New Roman" w:cs="Times New Roman"/>
          <w:sz w:val="24"/>
          <w:szCs w:val="24"/>
          <w:lang w:val="en-GB"/>
        </w:rPr>
        <w:lastRenderedPageBreak/>
        <w:t>view</w:t>
      </w:r>
      <w:r w:rsidR="00052DB6" w:rsidRPr="00D9330B">
        <w:rPr>
          <w:rFonts w:ascii="Times New Roman" w:hAnsi="Times New Roman" w:cs="Times New Roman"/>
          <w:sz w:val="24"/>
          <w:szCs w:val="24"/>
          <w:lang w:val="en-GB"/>
        </w:rPr>
        <w:t>ed</w:t>
      </w:r>
      <w:r w:rsidR="001E4C13" w:rsidRPr="00D9330B">
        <w:rPr>
          <w:rFonts w:ascii="Times New Roman" w:hAnsi="Times New Roman" w:cs="Times New Roman"/>
          <w:sz w:val="24"/>
          <w:szCs w:val="24"/>
          <w:lang w:val="en-GB"/>
        </w:rPr>
        <w:t xml:space="preserve"> as obsolete</w:t>
      </w:r>
      <w:r w:rsidR="00037752" w:rsidRPr="00D9330B">
        <w:rPr>
          <w:rFonts w:ascii="Times New Roman" w:hAnsi="Times New Roman" w:cs="Times New Roman"/>
          <w:sz w:val="24"/>
          <w:szCs w:val="24"/>
          <w:lang w:val="en-GB"/>
        </w:rPr>
        <w:t>. As a result, although the military takeovers of the 1960s and 1970s wer</w:t>
      </w:r>
      <w:r w:rsidR="00CF4CB5" w:rsidRPr="00D9330B">
        <w:rPr>
          <w:rFonts w:ascii="Times New Roman" w:hAnsi="Times New Roman" w:cs="Times New Roman"/>
          <w:sz w:val="24"/>
          <w:szCs w:val="24"/>
          <w:lang w:val="en-GB"/>
        </w:rPr>
        <w:t>e justifie</w:t>
      </w:r>
      <w:r w:rsidR="00037752" w:rsidRPr="00D9330B">
        <w:rPr>
          <w:rFonts w:ascii="Times New Roman" w:hAnsi="Times New Roman" w:cs="Times New Roman"/>
          <w:sz w:val="24"/>
          <w:szCs w:val="24"/>
          <w:lang w:val="en-GB"/>
        </w:rPr>
        <w:t>d mainly in terms of fighting communism</w:t>
      </w:r>
      <w:r w:rsidR="00993B81" w:rsidRPr="00D9330B">
        <w:rPr>
          <w:rFonts w:ascii="Times New Roman" w:hAnsi="Times New Roman" w:cs="Times New Roman"/>
          <w:sz w:val="24"/>
          <w:szCs w:val="24"/>
          <w:lang w:val="en-GB"/>
        </w:rPr>
        <w:t xml:space="preserve"> and</w:t>
      </w:r>
      <w:r w:rsidR="0072037D" w:rsidRPr="00D9330B">
        <w:rPr>
          <w:rFonts w:ascii="Times New Roman" w:hAnsi="Times New Roman" w:cs="Times New Roman"/>
          <w:sz w:val="24"/>
          <w:szCs w:val="24"/>
          <w:lang w:val="en-GB"/>
        </w:rPr>
        <w:t xml:space="preserve"> armed insurgency</w:t>
      </w:r>
      <w:r w:rsidR="007B6C9B" w:rsidRPr="00D9330B">
        <w:rPr>
          <w:rFonts w:ascii="Times New Roman" w:hAnsi="Times New Roman" w:cs="Times New Roman"/>
          <w:sz w:val="24"/>
          <w:szCs w:val="24"/>
          <w:lang w:val="en-GB"/>
        </w:rPr>
        <w:t>, regime supporters</w:t>
      </w:r>
      <w:r w:rsidR="00037752" w:rsidRPr="00D9330B">
        <w:rPr>
          <w:rFonts w:ascii="Times New Roman" w:hAnsi="Times New Roman" w:cs="Times New Roman"/>
          <w:sz w:val="24"/>
          <w:szCs w:val="24"/>
          <w:lang w:val="en-GB"/>
        </w:rPr>
        <w:t xml:space="preserve"> took advantage of the aut</w:t>
      </w:r>
      <w:r w:rsidR="00B7483C" w:rsidRPr="00D9330B">
        <w:rPr>
          <w:rFonts w:ascii="Times New Roman" w:hAnsi="Times New Roman" w:cs="Times New Roman"/>
          <w:sz w:val="24"/>
          <w:szCs w:val="24"/>
          <w:lang w:val="en-GB"/>
        </w:rPr>
        <w:t>horitarian situation to advance</w:t>
      </w:r>
      <w:r w:rsidR="00037752" w:rsidRPr="00D9330B">
        <w:rPr>
          <w:rFonts w:ascii="Times New Roman" w:hAnsi="Times New Roman" w:cs="Times New Roman"/>
          <w:sz w:val="24"/>
          <w:szCs w:val="24"/>
          <w:lang w:val="en-GB"/>
        </w:rPr>
        <w:t xml:space="preserve"> reforms that would</w:t>
      </w:r>
      <w:r w:rsidR="001E4C13" w:rsidRPr="00D9330B">
        <w:rPr>
          <w:rFonts w:ascii="Times New Roman" w:hAnsi="Times New Roman" w:cs="Times New Roman"/>
          <w:sz w:val="24"/>
          <w:szCs w:val="24"/>
          <w:lang w:val="en-GB"/>
        </w:rPr>
        <w:t xml:space="preserve"> impose limits on s</w:t>
      </w:r>
      <w:r w:rsidR="0072037D" w:rsidRPr="00D9330B">
        <w:rPr>
          <w:rFonts w:ascii="Times New Roman" w:hAnsi="Times New Roman" w:cs="Times New Roman"/>
          <w:sz w:val="24"/>
          <w:szCs w:val="24"/>
          <w:lang w:val="en-GB"/>
        </w:rPr>
        <w:t>ocial s</w:t>
      </w:r>
      <w:r w:rsidR="001E4C13" w:rsidRPr="00D9330B">
        <w:rPr>
          <w:rFonts w:ascii="Times New Roman" w:hAnsi="Times New Roman" w:cs="Times New Roman"/>
          <w:sz w:val="24"/>
          <w:szCs w:val="24"/>
          <w:lang w:val="en-GB"/>
        </w:rPr>
        <w:t>pending</w:t>
      </w:r>
      <w:r w:rsidR="00037752" w:rsidRPr="00D9330B">
        <w:rPr>
          <w:rFonts w:ascii="Times New Roman" w:hAnsi="Times New Roman" w:cs="Times New Roman"/>
          <w:sz w:val="24"/>
          <w:szCs w:val="24"/>
          <w:lang w:val="en-GB"/>
        </w:rPr>
        <w:t xml:space="preserve"> and erode the structural foundations of the groups</w:t>
      </w:r>
      <w:r w:rsidR="002C4A41" w:rsidRPr="00D9330B">
        <w:rPr>
          <w:rFonts w:ascii="Times New Roman" w:hAnsi="Times New Roman" w:cs="Times New Roman"/>
          <w:sz w:val="24"/>
          <w:szCs w:val="24"/>
          <w:lang w:val="en-GB"/>
        </w:rPr>
        <w:t>, including</w:t>
      </w:r>
      <w:r w:rsidR="001E4C13" w:rsidRPr="00D9330B">
        <w:rPr>
          <w:rFonts w:ascii="Times New Roman" w:hAnsi="Times New Roman" w:cs="Times New Roman"/>
          <w:sz w:val="24"/>
          <w:szCs w:val="24"/>
          <w:lang w:val="en-GB"/>
        </w:rPr>
        <w:t xml:space="preserve"> </w:t>
      </w:r>
      <w:proofErr w:type="gramStart"/>
      <w:r w:rsidR="001E4C13" w:rsidRPr="00D9330B">
        <w:rPr>
          <w:rFonts w:ascii="Times New Roman" w:hAnsi="Times New Roman" w:cs="Times New Roman"/>
          <w:sz w:val="24"/>
          <w:szCs w:val="24"/>
          <w:lang w:val="en-GB"/>
        </w:rPr>
        <w:t>labour,</w:t>
      </w:r>
      <w:r w:rsidR="00993B81" w:rsidRPr="00D9330B">
        <w:rPr>
          <w:rFonts w:ascii="Times New Roman" w:hAnsi="Times New Roman" w:cs="Times New Roman"/>
          <w:sz w:val="24"/>
          <w:szCs w:val="24"/>
          <w:lang w:val="en-GB"/>
        </w:rPr>
        <w:t xml:space="preserve"> </w:t>
      </w:r>
      <w:r w:rsidR="00037752" w:rsidRPr="00D9330B">
        <w:rPr>
          <w:rFonts w:ascii="Times New Roman" w:hAnsi="Times New Roman" w:cs="Times New Roman"/>
          <w:sz w:val="24"/>
          <w:szCs w:val="24"/>
          <w:lang w:val="en-GB"/>
        </w:rPr>
        <w:t>that</w:t>
      </w:r>
      <w:proofErr w:type="gramEnd"/>
      <w:r w:rsidR="00037752" w:rsidRPr="00D9330B">
        <w:rPr>
          <w:rFonts w:ascii="Times New Roman" w:hAnsi="Times New Roman" w:cs="Times New Roman"/>
          <w:sz w:val="24"/>
          <w:szCs w:val="24"/>
          <w:lang w:val="en-GB"/>
        </w:rPr>
        <w:t xml:space="preserve"> defended it</w:t>
      </w:r>
      <w:r w:rsidR="001E4C13" w:rsidRPr="00D9330B">
        <w:rPr>
          <w:rFonts w:ascii="Times New Roman" w:hAnsi="Times New Roman" w:cs="Times New Roman"/>
          <w:sz w:val="24"/>
          <w:szCs w:val="24"/>
          <w:lang w:val="en-GB"/>
        </w:rPr>
        <w:t>.</w:t>
      </w:r>
      <w:r w:rsidR="003E7309" w:rsidRPr="00D9330B">
        <w:rPr>
          <w:rFonts w:ascii="Times New Roman" w:hAnsi="Times New Roman" w:cs="Times New Roman"/>
          <w:sz w:val="24"/>
          <w:szCs w:val="24"/>
          <w:lang w:val="en-GB"/>
        </w:rPr>
        <w:t xml:space="preserve"> </w:t>
      </w:r>
      <w:r w:rsidR="001D00DD" w:rsidRPr="00D9330B">
        <w:rPr>
          <w:rFonts w:ascii="Times New Roman" w:hAnsi="Times New Roman" w:cs="Times New Roman"/>
          <w:sz w:val="24"/>
          <w:szCs w:val="24"/>
          <w:lang w:val="en-GB"/>
        </w:rPr>
        <w:t>These</w:t>
      </w:r>
      <w:r w:rsidR="0072037D" w:rsidRPr="00D9330B">
        <w:rPr>
          <w:rFonts w:ascii="Times New Roman" w:hAnsi="Times New Roman" w:cs="Times New Roman"/>
          <w:sz w:val="24"/>
          <w:szCs w:val="24"/>
          <w:lang w:val="en-GB"/>
        </w:rPr>
        <w:t xml:space="preserve"> reforms </w:t>
      </w:r>
      <w:r w:rsidR="00642066" w:rsidRPr="00D9330B">
        <w:rPr>
          <w:rFonts w:ascii="Times New Roman" w:hAnsi="Times New Roman" w:cs="Times New Roman"/>
          <w:sz w:val="24"/>
          <w:szCs w:val="24"/>
          <w:lang w:val="en-GB"/>
        </w:rPr>
        <w:t>were costly to some businesses</w:t>
      </w:r>
      <w:r w:rsidR="004323C5" w:rsidRPr="00D9330B">
        <w:rPr>
          <w:rFonts w:ascii="Times New Roman" w:hAnsi="Times New Roman" w:cs="Times New Roman"/>
          <w:sz w:val="24"/>
          <w:szCs w:val="24"/>
          <w:lang w:val="en-GB"/>
        </w:rPr>
        <w:t xml:space="preserve">, but </w:t>
      </w:r>
      <w:r w:rsidR="0072037D" w:rsidRPr="00D9330B">
        <w:rPr>
          <w:rFonts w:ascii="Times New Roman" w:hAnsi="Times New Roman" w:cs="Times New Roman"/>
          <w:sz w:val="24"/>
          <w:szCs w:val="24"/>
          <w:lang w:val="en-GB"/>
        </w:rPr>
        <w:t>economic stagnation and</w:t>
      </w:r>
      <w:r w:rsidR="00052DB6" w:rsidRPr="00D9330B">
        <w:rPr>
          <w:rFonts w:ascii="Times New Roman" w:hAnsi="Times New Roman" w:cs="Times New Roman"/>
          <w:sz w:val="24"/>
          <w:szCs w:val="24"/>
          <w:lang w:val="en-GB"/>
        </w:rPr>
        <w:t xml:space="preserve"> political crisis created cond</w:t>
      </w:r>
      <w:r w:rsidR="0072037D" w:rsidRPr="00D9330B">
        <w:rPr>
          <w:rFonts w:ascii="Times New Roman" w:hAnsi="Times New Roman" w:cs="Times New Roman"/>
          <w:sz w:val="24"/>
          <w:szCs w:val="24"/>
          <w:lang w:val="en-GB"/>
        </w:rPr>
        <w:t xml:space="preserve">itions </w:t>
      </w:r>
      <w:r w:rsidR="00052DB6" w:rsidRPr="00D9330B">
        <w:rPr>
          <w:rFonts w:ascii="Times New Roman" w:hAnsi="Times New Roman" w:cs="Times New Roman"/>
          <w:sz w:val="24"/>
          <w:szCs w:val="24"/>
          <w:lang w:val="en-GB"/>
        </w:rPr>
        <w:t>under</w:t>
      </w:r>
      <w:r w:rsidR="00B64EBC" w:rsidRPr="00D9330B">
        <w:rPr>
          <w:rFonts w:ascii="Times New Roman" w:hAnsi="Times New Roman" w:cs="Times New Roman"/>
          <w:sz w:val="24"/>
          <w:szCs w:val="24"/>
          <w:lang w:val="en-GB"/>
        </w:rPr>
        <w:t xml:space="preserve"> which</w:t>
      </w:r>
      <w:r w:rsidR="00642066" w:rsidRPr="00D9330B">
        <w:rPr>
          <w:rFonts w:ascii="Times New Roman" w:hAnsi="Times New Roman" w:cs="Times New Roman"/>
          <w:sz w:val="24"/>
          <w:szCs w:val="24"/>
          <w:lang w:val="en-GB"/>
        </w:rPr>
        <w:t xml:space="preserve"> their resistance</w:t>
      </w:r>
      <w:r w:rsidR="00052DB6" w:rsidRPr="00D9330B">
        <w:rPr>
          <w:rFonts w:ascii="Times New Roman" w:hAnsi="Times New Roman" w:cs="Times New Roman"/>
          <w:sz w:val="24"/>
          <w:szCs w:val="24"/>
          <w:lang w:val="en-GB"/>
        </w:rPr>
        <w:t xml:space="preserve"> could be</w:t>
      </w:r>
      <w:r w:rsidR="0072037D" w:rsidRPr="00D9330B">
        <w:rPr>
          <w:rFonts w:ascii="Times New Roman" w:hAnsi="Times New Roman" w:cs="Times New Roman"/>
          <w:sz w:val="24"/>
          <w:szCs w:val="24"/>
          <w:lang w:val="en-GB"/>
        </w:rPr>
        <w:t xml:space="preserve"> overcome.</w:t>
      </w:r>
      <w:r w:rsidR="00493C5B" w:rsidRPr="00D9330B">
        <w:rPr>
          <w:rStyle w:val="FootnoteReference"/>
          <w:rFonts w:ascii="Times New Roman" w:hAnsi="Times New Roman" w:cs="Times New Roman"/>
          <w:sz w:val="24"/>
          <w:szCs w:val="24"/>
          <w:lang w:val="en-GB"/>
        </w:rPr>
        <w:footnoteReference w:id="72"/>
      </w:r>
    </w:p>
    <w:p w:rsidR="00207043" w:rsidRDefault="007A56E5" w:rsidP="00B64EBC">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Compared to the Southern Cone, in Brazil the pre-coup expansion of the state was less a product of popular pressures for redistribution</w:t>
      </w:r>
      <w:r w:rsidR="007B6C9B" w:rsidRPr="00D9330B">
        <w:rPr>
          <w:rFonts w:ascii="Times New Roman" w:hAnsi="Times New Roman" w:cs="Times New Roman"/>
          <w:sz w:val="24"/>
          <w:szCs w:val="24"/>
          <w:lang w:val="en-GB"/>
        </w:rPr>
        <w:t>, which were</w:t>
      </w:r>
      <w:r w:rsidR="00CF4CB5" w:rsidRPr="00D9330B">
        <w:rPr>
          <w:rFonts w:ascii="Times New Roman" w:hAnsi="Times New Roman" w:cs="Times New Roman"/>
          <w:sz w:val="24"/>
          <w:szCs w:val="24"/>
          <w:lang w:val="en-GB"/>
        </w:rPr>
        <w:t xml:space="preserve"> weaker</w:t>
      </w:r>
      <w:r w:rsidRPr="00D9330B">
        <w:rPr>
          <w:rFonts w:ascii="Times New Roman" w:hAnsi="Times New Roman" w:cs="Times New Roman"/>
          <w:sz w:val="24"/>
          <w:szCs w:val="24"/>
          <w:lang w:val="en-GB"/>
        </w:rPr>
        <w:t>.</w:t>
      </w:r>
      <w:r w:rsidR="00CF4CB5" w:rsidRPr="00D9330B">
        <w:rPr>
          <w:rFonts w:ascii="Times New Roman" w:hAnsi="Times New Roman" w:cs="Times New Roman"/>
          <w:sz w:val="24"/>
          <w:szCs w:val="24"/>
          <w:lang w:val="en-GB"/>
        </w:rPr>
        <w:t xml:space="preserve"> Their relative debility was reflected in the</w:t>
      </w:r>
      <w:r w:rsidR="00842375" w:rsidRPr="00D9330B">
        <w:rPr>
          <w:rFonts w:ascii="Times New Roman" w:hAnsi="Times New Roman" w:cs="Times New Roman"/>
          <w:sz w:val="24"/>
          <w:szCs w:val="24"/>
          <w:lang w:val="en-GB"/>
        </w:rPr>
        <w:t xml:space="preserve"> social security sys</w:t>
      </w:r>
      <w:r w:rsidR="0099518B">
        <w:rPr>
          <w:rFonts w:ascii="Times New Roman" w:hAnsi="Times New Roman" w:cs="Times New Roman"/>
          <w:sz w:val="24"/>
          <w:szCs w:val="24"/>
          <w:lang w:val="en-GB"/>
        </w:rPr>
        <w:t>tem, which</w:t>
      </w:r>
      <w:r w:rsidR="00CF4CB5" w:rsidRPr="00D9330B">
        <w:rPr>
          <w:rFonts w:ascii="Times New Roman" w:hAnsi="Times New Roman" w:cs="Times New Roman"/>
          <w:sz w:val="24"/>
          <w:szCs w:val="24"/>
          <w:lang w:val="en-GB"/>
        </w:rPr>
        <w:t xml:space="preserve"> was far s</w:t>
      </w:r>
      <w:r w:rsidR="00200BCC">
        <w:rPr>
          <w:rFonts w:ascii="Times New Roman" w:hAnsi="Times New Roman" w:cs="Times New Roman"/>
          <w:sz w:val="24"/>
          <w:szCs w:val="24"/>
          <w:lang w:val="en-GB"/>
        </w:rPr>
        <w:t>maller</w:t>
      </w:r>
      <w:r w:rsidR="00A268C2" w:rsidRPr="00D9330B">
        <w:rPr>
          <w:rFonts w:ascii="Times New Roman" w:hAnsi="Times New Roman" w:cs="Times New Roman"/>
          <w:sz w:val="24"/>
          <w:szCs w:val="24"/>
          <w:lang w:val="en-GB"/>
        </w:rPr>
        <w:t>.</w:t>
      </w:r>
      <w:r w:rsidR="00207043">
        <w:rPr>
          <w:rFonts w:ascii="Times New Roman" w:hAnsi="Times New Roman" w:cs="Times New Roman"/>
          <w:sz w:val="24"/>
          <w:szCs w:val="24"/>
          <w:lang w:val="en-GB"/>
        </w:rPr>
        <w:t xml:space="preserve"> In 1955 and 1960 social security accounted</w:t>
      </w:r>
      <w:r w:rsidR="00A217D3">
        <w:rPr>
          <w:rFonts w:ascii="Times New Roman" w:hAnsi="Times New Roman" w:cs="Times New Roman"/>
          <w:sz w:val="24"/>
          <w:szCs w:val="24"/>
          <w:lang w:val="en-GB"/>
        </w:rPr>
        <w:t xml:space="preserve"> on average</w:t>
      </w:r>
      <w:r w:rsidR="00207043">
        <w:rPr>
          <w:rFonts w:ascii="Times New Roman" w:hAnsi="Times New Roman" w:cs="Times New Roman"/>
          <w:sz w:val="24"/>
          <w:szCs w:val="24"/>
          <w:lang w:val="en-GB"/>
        </w:rPr>
        <w:t xml:space="preserve"> for only 14 percent of</w:t>
      </w:r>
      <w:r w:rsidR="00E14845">
        <w:rPr>
          <w:rFonts w:ascii="Times New Roman" w:hAnsi="Times New Roman" w:cs="Times New Roman"/>
          <w:sz w:val="24"/>
          <w:szCs w:val="24"/>
          <w:lang w:val="en-GB"/>
        </w:rPr>
        <w:t xml:space="preserve"> total</w:t>
      </w:r>
      <w:r w:rsidR="00EC4EF0">
        <w:rPr>
          <w:rFonts w:ascii="Times New Roman" w:hAnsi="Times New Roman" w:cs="Times New Roman"/>
          <w:sz w:val="24"/>
          <w:szCs w:val="24"/>
          <w:lang w:val="en-GB"/>
        </w:rPr>
        <w:t xml:space="preserve"> public</w:t>
      </w:r>
      <w:r w:rsidR="00207043">
        <w:rPr>
          <w:rFonts w:ascii="Times New Roman" w:hAnsi="Times New Roman" w:cs="Times New Roman"/>
          <w:sz w:val="24"/>
          <w:szCs w:val="24"/>
          <w:lang w:val="en-GB"/>
        </w:rPr>
        <w:t xml:space="preserve"> spend</w:t>
      </w:r>
      <w:r w:rsidR="00E14845">
        <w:rPr>
          <w:rFonts w:ascii="Times New Roman" w:hAnsi="Times New Roman" w:cs="Times New Roman"/>
          <w:sz w:val="24"/>
          <w:szCs w:val="24"/>
          <w:lang w:val="en-GB"/>
        </w:rPr>
        <w:t>ing</w:t>
      </w:r>
      <w:r w:rsidR="00207043">
        <w:rPr>
          <w:rFonts w:ascii="Times New Roman" w:hAnsi="Times New Roman" w:cs="Times New Roman"/>
          <w:sz w:val="24"/>
          <w:szCs w:val="24"/>
          <w:lang w:val="en-GB"/>
        </w:rPr>
        <w:t>.</w:t>
      </w:r>
      <w:r w:rsidR="00EC4EF0">
        <w:rPr>
          <w:rFonts w:ascii="Times New Roman" w:hAnsi="Times New Roman" w:cs="Times New Roman"/>
          <w:sz w:val="24"/>
          <w:szCs w:val="24"/>
          <w:lang w:val="en-GB"/>
        </w:rPr>
        <w:t xml:space="preserve"> </w:t>
      </w:r>
      <w:r w:rsidR="00A217D3">
        <w:rPr>
          <w:rFonts w:ascii="Times New Roman" w:hAnsi="Times New Roman" w:cs="Times New Roman"/>
          <w:sz w:val="24"/>
          <w:szCs w:val="24"/>
          <w:lang w:val="en-GB"/>
        </w:rPr>
        <w:t>In comparison, spending on transportation and utilities, which reflected the state’s commitm</w:t>
      </w:r>
      <w:r w:rsidR="00B14D97">
        <w:rPr>
          <w:rFonts w:ascii="Times New Roman" w:hAnsi="Times New Roman" w:cs="Times New Roman"/>
          <w:sz w:val="24"/>
          <w:szCs w:val="24"/>
          <w:lang w:val="en-GB"/>
        </w:rPr>
        <w:t>ent to rapid</w:t>
      </w:r>
      <w:r w:rsidR="00A217D3">
        <w:rPr>
          <w:rFonts w:ascii="Times New Roman" w:hAnsi="Times New Roman" w:cs="Times New Roman"/>
          <w:sz w:val="24"/>
          <w:szCs w:val="24"/>
          <w:lang w:val="en-GB"/>
        </w:rPr>
        <w:t xml:space="preserve"> economic growth, made up 18 percent.</w:t>
      </w:r>
      <w:r w:rsidR="00CE3E63" w:rsidRPr="00CE3E63">
        <w:rPr>
          <w:rStyle w:val="FootnoteReference"/>
          <w:rFonts w:ascii="Times New Roman" w:hAnsi="Times New Roman" w:cs="Times New Roman"/>
          <w:sz w:val="24"/>
          <w:szCs w:val="24"/>
          <w:lang w:val="en-GB"/>
        </w:rPr>
        <w:t xml:space="preserve"> </w:t>
      </w:r>
      <w:r w:rsidR="00CE3E63">
        <w:rPr>
          <w:rStyle w:val="FootnoteReference"/>
          <w:rFonts w:ascii="Times New Roman" w:hAnsi="Times New Roman" w:cs="Times New Roman"/>
          <w:sz w:val="24"/>
          <w:szCs w:val="24"/>
          <w:lang w:val="en-GB"/>
        </w:rPr>
        <w:footnoteReference w:id="73"/>
      </w:r>
      <w:r w:rsidR="00A217D3">
        <w:rPr>
          <w:rFonts w:ascii="Times New Roman" w:hAnsi="Times New Roman" w:cs="Times New Roman"/>
          <w:sz w:val="24"/>
          <w:szCs w:val="24"/>
          <w:lang w:val="en-GB"/>
        </w:rPr>
        <w:t xml:space="preserve"> </w:t>
      </w:r>
      <w:r w:rsidR="00EC4EF0">
        <w:rPr>
          <w:rFonts w:ascii="Times New Roman" w:hAnsi="Times New Roman" w:cs="Times New Roman"/>
          <w:sz w:val="24"/>
          <w:szCs w:val="24"/>
          <w:lang w:val="en-GB"/>
        </w:rPr>
        <w:t>D</w:t>
      </w:r>
      <w:r w:rsidR="00B14D97">
        <w:rPr>
          <w:rFonts w:ascii="Times New Roman" w:hAnsi="Times New Roman" w:cs="Times New Roman"/>
          <w:sz w:val="24"/>
          <w:szCs w:val="24"/>
          <w:lang w:val="en-GB"/>
        </w:rPr>
        <w:t xml:space="preserve">ata from the </w:t>
      </w:r>
      <w:r w:rsidR="00EC4EF0">
        <w:rPr>
          <w:rFonts w:ascii="Times New Roman" w:hAnsi="Times New Roman" w:cs="Times New Roman"/>
          <w:sz w:val="24"/>
          <w:szCs w:val="24"/>
          <w:lang w:val="en-GB"/>
        </w:rPr>
        <w:t xml:space="preserve">1960s suggest that Brazilian social security expenditures were </w:t>
      </w:r>
      <w:r w:rsidR="00B14D97">
        <w:rPr>
          <w:rFonts w:ascii="Times New Roman" w:hAnsi="Times New Roman" w:cs="Times New Roman"/>
          <w:sz w:val="24"/>
          <w:szCs w:val="24"/>
          <w:lang w:val="en-GB"/>
        </w:rPr>
        <w:t>roughly a third</w:t>
      </w:r>
      <w:r w:rsidR="00EC4EF0">
        <w:rPr>
          <w:rFonts w:ascii="Times New Roman" w:hAnsi="Times New Roman" w:cs="Times New Roman"/>
          <w:sz w:val="24"/>
          <w:szCs w:val="24"/>
          <w:lang w:val="en-GB"/>
        </w:rPr>
        <w:t xml:space="preserve"> those of Chile and Uruguay relative to GDP</w:t>
      </w:r>
      <w:r w:rsidR="00B14D97">
        <w:rPr>
          <w:rFonts w:ascii="Times New Roman" w:hAnsi="Times New Roman" w:cs="Times New Roman"/>
          <w:sz w:val="24"/>
          <w:szCs w:val="24"/>
          <w:lang w:val="en-GB"/>
        </w:rPr>
        <w:t>, which implies a much smaller</w:t>
      </w:r>
      <w:r w:rsidR="00A64A0A">
        <w:rPr>
          <w:rFonts w:ascii="Times New Roman" w:hAnsi="Times New Roman" w:cs="Times New Roman"/>
          <w:sz w:val="24"/>
          <w:szCs w:val="24"/>
          <w:lang w:val="en-GB"/>
        </w:rPr>
        <w:t xml:space="preserve"> share of </w:t>
      </w:r>
      <w:r w:rsidR="00B14D97">
        <w:rPr>
          <w:rFonts w:ascii="Times New Roman" w:hAnsi="Times New Roman" w:cs="Times New Roman"/>
          <w:sz w:val="24"/>
          <w:szCs w:val="24"/>
          <w:lang w:val="en-GB"/>
        </w:rPr>
        <w:t>total spending</w:t>
      </w:r>
      <w:r w:rsidR="00EC4EF0">
        <w:rPr>
          <w:rFonts w:ascii="Times New Roman" w:hAnsi="Times New Roman" w:cs="Times New Roman"/>
          <w:sz w:val="24"/>
          <w:szCs w:val="24"/>
          <w:lang w:val="en-GB"/>
        </w:rPr>
        <w:t>.</w:t>
      </w:r>
      <w:r w:rsidR="00CE3E63">
        <w:rPr>
          <w:rStyle w:val="FootnoteReference"/>
          <w:rFonts w:ascii="Times New Roman" w:hAnsi="Times New Roman" w:cs="Times New Roman"/>
          <w:sz w:val="24"/>
          <w:szCs w:val="24"/>
          <w:lang w:val="en-GB"/>
        </w:rPr>
        <w:footnoteReference w:id="74"/>
      </w:r>
      <w:r w:rsidR="00CE3E63">
        <w:rPr>
          <w:rFonts w:ascii="Times New Roman" w:hAnsi="Times New Roman" w:cs="Times New Roman"/>
          <w:sz w:val="24"/>
          <w:szCs w:val="24"/>
          <w:lang w:val="en-GB"/>
        </w:rPr>
        <w:t xml:space="preserve"> Prior to</w:t>
      </w:r>
      <w:r w:rsidR="00D05CEC">
        <w:rPr>
          <w:rFonts w:ascii="Times New Roman" w:hAnsi="Times New Roman" w:cs="Times New Roman"/>
          <w:sz w:val="24"/>
          <w:szCs w:val="24"/>
          <w:lang w:val="en-GB"/>
        </w:rPr>
        <w:t xml:space="preserve"> the</w:t>
      </w:r>
      <w:r w:rsidR="00EC4EF0">
        <w:rPr>
          <w:rFonts w:ascii="Times New Roman" w:hAnsi="Times New Roman" w:cs="Times New Roman"/>
          <w:sz w:val="24"/>
          <w:szCs w:val="24"/>
          <w:lang w:val="en-GB"/>
        </w:rPr>
        <w:t xml:space="preserve"> 1955 coup Argentina’s s</w:t>
      </w:r>
      <w:r w:rsidR="00A217D3">
        <w:rPr>
          <w:rFonts w:ascii="Times New Roman" w:hAnsi="Times New Roman" w:cs="Times New Roman"/>
          <w:sz w:val="24"/>
          <w:szCs w:val="24"/>
          <w:lang w:val="en-GB"/>
        </w:rPr>
        <w:t xml:space="preserve">ocial security spending </w:t>
      </w:r>
      <w:r w:rsidR="00D05CEC">
        <w:rPr>
          <w:rFonts w:ascii="Times New Roman" w:hAnsi="Times New Roman" w:cs="Times New Roman"/>
          <w:sz w:val="24"/>
          <w:szCs w:val="24"/>
          <w:lang w:val="en-GB"/>
        </w:rPr>
        <w:t xml:space="preserve">probably </w:t>
      </w:r>
      <w:r w:rsidR="00A217D3">
        <w:rPr>
          <w:rFonts w:ascii="Times New Roman" w:hAnsi="Times New Roman" w:cs="Times New Roman"/>
          <w:sz w:val="24"/>
          <w:szCs w:val="24"/>
          <w:lang w:val="en-GB"/>
        </w:rPr>
        <w:t>also</w:t>
      </w:r>
      <w:r w:rsidR="0099518B">
        <w:rPr>
          <w:rFonts w:ascii="Times New Roman" w:hAnsi="Times New Roman" w:cs="Times New Roman"/>
          <w:sz w:val="24"/>
          <w:szCs w:val="24"/>
          <w:lang w:val="en-GB"/>
        </w:rPr>
        <w:t xml:space="preserve"> exceeded </w:t>
      </w:r>
      <w:r w:rsidR="00EC4EF0">
        <w:rPr>
          <w:rFonts w:ascii="Times New Roman" w:hAnsi="Times New Roman" w:cs="Times New Roman"/>
          <w:sz w:val="24"/>
          <w:szCs w:val="24"/>
          <w:lang w:val="en-GB"/>
        </w:rPr>
        <w:t>Brazil</w:t>
      </w:r>
      <w:r w:rsidR="0099518B">
        <w:rPr>
          <w:rFonts w:ascii="Times New Roman" w:hAnsi="Times New Roman" w:cs="Times New Roman"/>
          <w:sz w:val="24"/>
          <w:szCs w:val="24"/>
          <w:lang w:val="en-GB"/>
        </w:rPr>
        <w:t>’s</w:t>
      </w:r>
      <w:r w:rsidR="00D05CEC">
        <w:rPr>
          <w:rFonts w:ascii="Times New Roman" w:hAnsi="Times New Roman" w:cs="Times New Roman"/>
          <w:sz w:val="24"/>
          <w:szCs w:val="24"/>
          <w:lang w:val="en-GB"/>
        </w:rPr>
        <w:t xml:space="preserve"> by a large margin</w:t>
      </w:r>
      <w:r w:rsidR="00A217D3">
        <w:rPr>
          <w:rFonts w:ascii="Times New Roman" w:hAnsi="Times New Roman" w:cs="Times New Roman"/>
          <w:sz w:val="24"/>
          <w:szCs w:val="24"/>
          <w:lang w:val="en-GB"/>
        </w:rPr>
        <w:t>.</w:t>
      </w:r>
      <w:r w:rsidR="00CE3E63">
        <w:rPr>
          <w:rStyle w:val="FootnoteReference"/>
          <w:rFonts w:ascii="Times New Roman" w:hAnsi="Times New Roman" w:cs="Times New Roman"/>
          <w:sz w:val="24"/>
          <w:szCs w:val="24"/>
          <w:lang w:val="en-GB"/>
        </w:rPr>
        <w:footnoteReference w:id="75"/>
      </w:r>
    </w:p>
    <w:p w:rsidR="00052DB6" w:rsidRPr="00D9330B" w:rsidRDefault="00E14845" w:rsidP="00B64EB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The relative weakness of popular</w:t>
      </w:r>
      <w:r w:rsidR="00A217D3">
        <w:rPr>
          <w:rFonts w:ascii="Times New Roman" w:hAnsi="Times New Roman" w:cs="Times New Roman"/>
          <w:sz w:val="24"/>
          <w:szCs w:val="24"/>
          <w:lang w:val="en-GB"/>
        </w:rPr>
        <w:t xml:space="preserve"> pressures</w:t>
      </w:r>
      <w:r w:rsidR="00A268C2" w:rsidRPr="00D9330B">
        <w:rPr>
          <w:rFonts w:ascii="Times New Roman" w:hAnsi="Times New Roman" w:cs="Times New Roman"/>
          <w:sz w:val="24"/>
          <w:szCs w:val="24"/>
          <w:lang w:val="en-GB"/>
        </w:rPr>
        <w:t xml:space="preserve"> was also</w:t>
      </w:r>
      <w:r w:rsidR="00522BD3" w:rsidRPr="00D9330B">
        <w:rPr>
          <w:rFonts w:ascii="Times New Roman" w:hAnsi="Times New Roman" w:cs="Times New Roman"/>
          <w:sz w:val="24"/>
          <w:szCs w:val="24"/>
          <w:lang w:val="en-GB"/>
        </w:rPr>
        <w:t xml:space="preserve"> reflected in the</w:t>
      </w:r>
      <w:r w:rsidR="00CF4CB5" w:rsidRPr="00D9330B">
        <w:rPr>
          <w:rFonts w:ascii="Times New Roman" w:hAnsi="Times New Roman" w:cs="Times New Roman"/>
          <w:sz w:val="24"/>
          <w:szCs w:val="24"/>
          <w:lang w:val="en-GB"/>
        </w:rPr>
        <w:t xml:space="preserve"> low</w:t>
      </w:r>
      <w:r w:rsidR="00A217D3">
        <w:rPr>
          <w:rFonts w:ascii="Times New Roman" w:hAnsi="Times New Roman" w:cs="Times New Roman"/>
          <w:sz w:val="24"/>
          <w:szCs w:val="24"/>
          <w:lang w:val="en-GB"/>
        </w:rPr>
        <w:t>er</w:t>
      </w:r>
      <w:r w:rsidR="00CF4CB5" w:rsidRPr="00D9330B">
        <w:rPr>
          <w:rFonts w:ascii="Times New Roman" w:hAnsi="Times New Roman" w:cs="Times New Roman"/>
          <w:sz w:val="24"/>
          <w:szCs w:val="24"/>
          <w:lang w:val="en-GB"/>
        </w:rPr>
        <w:t xml:space="preserve"> level</w:t>
      </w:r>
      <w:r w:rsidR="002D2E79" w:rsidRPr="00D9330B">
        <w:rPr>
          <w:rFonts w:ascii="Times New Roman" w:hAnsi="Times New Roman" w:cs="Times New Roman"/>
          <w:sz w:val="24"/>
          <w:szCs w:val="24"/>
          <w:lang w:val="en-GB"/>
        </w:rPr>
        <w:t xml:space="preserve"> of</w:t>
      </w:r>
      <w:r w:rsidR="00CF4CB5" w:rsidRPr="00D9330B">
        <w:rPr>
          <w:rFonts w:ascii="Times New Roman" w:hAnsi="Times New Roman" w:cs="Times New Roman"/>
          <w:sz w:val="24"/>
          <w:szCs w:val="24"/>
          <w:lang w:val="en-GB"/>
        </w:rPr>
        <w:t xml:space="preserve"> </w:t>
      </w:r>
      <w:r w:rsidR="00052DB6" w:rsidRPr="00D9330B">
        <w:rPr>
          <w:rFonts w:ascii="Times New Roman" w:hAnsi="Times New Roman" w:cs="Times New Roman"/>
          <w:sz w:val="24"/>
          <w:szCs w:val="24"/>
          <w:lang w:val="en-GB"/>
        </w:rPr>
        <w:t>organis</w:t>
      </w:r>
      <w:r w:rsidR="00FF1898" w:rsidRPr="00D9330B">
        <w:rPr>
          <w:rFonts w:ascii="Times New Roman" w:hAnsi="Times New Roman" w:cs="Times New Roman"/>
          <w:sz w:val="24"/>
          <w:szCs w:val="24"/>
          <w:lang w:val="en-GB"/>
        </w:rPr>
        <w:t xml:space="preserve">ation of the </w:t>
      </w:r>
      <w:r w:rsidR="00CF4CB5" w:rsidRPr="00D9330B">
        <w:rPr>
          <w:rFonts w:ascii="Times New Roman" w:hAnsi="Times New Roman" w:cs="Times New Roman"/>
          <w:sz w:val="24"/>
          <w:szCs w:val="24"/>
          <w:lang w:val="en-GB"/>
        </w:rPr>
        <w:t>workforce.</w:t>
      </w:r>
      <w:r w:rsidR="007A56E5" w:rsidRPr="00D9330B">
        <w:rPr>
          <w:rFonts w:ascii="Times New Roman" w:hAnsi="Times New Roman" w:cs="Times New Roman"/>
          <w:sz w:val="24"/>
          <w:szCs w:val="24"/>
          <w:lang w:val="en-GB"/>
        </w:rPr>
        <w:t xml:space="preserve"> Ci</w:t>
      </w:r>
      <w:r w:rsidR="00F64CE0">
        <w:rPr>
          <w:rFonts w:ascii="Times New Roman" w:hAnsi="Times New Roman" w:cs="Times New Roman"/>
          <w:sz w:val="24"/>
          <w:szCs w:val="24"/>
          <w:lang w:val="en-GB"/>
        </w:rPr>
        <w:t>rca 1960 union members were ten</w:t>
      </w:r>
      <w:r w:rsidR="007A56E5" w:rsidRPr="00D9330B">
        <w:rPr>
          <w:rFonts w:ascii="Times New Roman" w:hAnsi="Times New Roman" w:cs="Times New Roman"/>
          <w:sz w:val="24"/>
          <w:szCs w:val="24"/>
          <w:lang w:val="en-GB"/>
        </w:rPr>
        <w:t xml:space="preserve"> per cent of the economically active population in Brazil, compared to 19.1 per cent in Uruguay, 19.3 per cent in Chile and 31.8 per cent in Argentina.</w:t>
      </w:r>
      <w:r w:rsidR="007A56E5" w:rsidRPr="00D9330B">
        <w:rPr>
          <w:rStyle w:val="FootnoteReference"/>
          <w:rFonts w:ascii="Times New Roman" w:hAnsi="Times New Roman" w:cs="Times New Roman"/>
          <w:sz w:val="24"/>
          <w:szCs w:val="24"/>
          <w:lang w:val="en-GB"/>
        </w:rPr>
        <w:footnoteReference w:id="76"/>
      </w:r>
      <w:r w:rsidR="007A56E5" w:rsidRPr="00D9330B">
        <w:rPr>
          <w:rFonts w:ascii="Times New Roman" w:hAnsi="Times New Roman" w:cs="Times New Roman"/>
          <w:sz w:val="24"/>
          <w:szCs w:val="24"/>
          <w:lang w:val="en-GB"/>
        </w:rPr>
        <w:t xml:space="preserve"> The Chilean and Argentine labour movements were the strongest in Latin America during most of th</w:t>
      </w:r>
      <w:r w:rsidR="00882ED7" w:rsidRPr="00D9330B">
        <w:rPr>
          <w:rFonts w:ascii="Times New Roman" w:hAnsi="Times New Roman" w:cs="Times New Roman"/>
          <w:sz w:val="24"/>
          <w:szCs w:val="24"/>
          <w:lang w:val="en-GB"/>
        </w:rPr>
        <w:t>e twentieth century and had</w:t>
      </w:r>
      <w:r w:rsidR="007A56E5" w:rsidRPr="00D9330B">
        <w:rPr>
          <w:rFonts w:ascii="Times New Roman" w:hAnsi="Times New Roman" w:cs="Times New Roman"/>
          <w:sz w:val="24"/>
          <w:szCs w:val="24"/>
          <w:lang w:val="en-GB"/>
        </w:rPr>
        <w:t xml:space="preserve"> prominent roles in the politics of their respective countries.</w:t>
      </w:r>
      <w:r w:rsidR="007A56E5" w:rsidRPr="00D9330B">
        <w:rPr>
          <w:rStyle w:val="FootnoteReference"/>
          <w:rFonts w:ascii="Times New Roman" w:hAnsi="Times New Roman" w:cs="Times New Roman"/>
          <w:sz w:val="24"/>
          <w:szCs w:val="24"/>
          <w:lang w:val="en-GB"/>
        </w:rPr>
        <w:footnoteReference w:id="77"/>
      </w:r>
      <w:r w:rsidR="007A56E5" w:rsidRPr="00D9330B">
        <w:rPr>
          <w:rFonts w:ascii="Times New Roman" w:hAnsi="Times New Roman" w:cs="Times New Roman"/>
          <w:sz w:val="24"/>
          <w:szCs w:val="24"/>
          <w:lang w:val="en-GB"/>
        </w:rPr>
        <w:t xml:space="preserve"> Uruguay’s unions were ge</w:t>
      </w:r>
      <w:r w:rsidR="00CC1757" w:rsidRPr="00D9330B">
        <w:rPr>
          <w:rFonts w:ascii="Times New Roman" w:hAnsi="Times New Roman" w:cs="Times New Roman"/>
          <w:sz w:val="24"/>
          <w:szCs w:val="24"/>
          <w:lang w:val="en-GB"/>
        </w:rPr>
        <w:t>nerally less militant, but</w:t>
      </w:r>
      <w:r w:rsidR="007A56E5" w:rsidRPr="00D9330B">
        <w:rPr>
          <w:rFonts w:ascii="Times New Roman" w:hAnsi="Times New Roman" w:cs="Times New Roman"/>
          <w:sz w:val="24"/>
          <w:szCs w:val="24"/>
          <w:lang w:val="en-GB"/>
        </w:rPr>
        <w:t xml:space="preserve"> competition for worker votes played an important part in the growth of the welfare state and labour conflict escalated when autho</w:t>
      </w:r>
      <w:r w:rsidR="009C6BFD" w:rsidRPr="00D9330B">
        <w:rPr>
          <w:rFonts w:ascii="Times New Roman" w:hAnsi="Times New Roman" w:cs="Times New Roman"/>
          <w:sz w:val="24"/>
          <w:szCs w:val="24"/>
          <w:lang w:val="en-GB"/>
        </w:rPr>
        <w:t>rities sought to restrain</w:t>
      </w:r>
      <w:r w:rsidR="007A56E5" w:rsidRPr="00D9330B">
        <w:rPr>
          <w:rFonts w:ascii="Times New Roman" w:hAnsi="Times New Roman" w:cs="Times New Roman"/>
          <w:sz w:val="24"/>
          <w:szCs w:val="24"/>
          <w:lang w:val="en-GB"/>
        </w:rPr>
        <w:t xml:space="preserve"> spending and wages beginning in the 1960s.</w:t>
      </w:r>
      <w:r w:rsidR="007A56E5" w:rsidRPr="00D9330B">
        <w:rPr>
          <w:rStyle w:val="FootnoteReference"/>
          <w:rFonts w:ascii="Times New Roman" w:hAnsi="Times New Roman" w:cs="Times New Roman"/>
          <w:sz w:val="24"/>
          <w:szCs w:val="24"/>
          <w:lang w:val="en-GB"/>
        </w:rPr>
        <w:footnoteReference w:id="78"/>
      </w:r>
      <w:r w:rsidR="00BF7F42" w:rsidRPr="00D9330B">
        <w:rPr>
          <w:rFonts w:ascii="Times New Roman" w:hAnsi="Times New Roman" w:cs="Times New Roman"/>
          <w:sz w:val="24"/>
          <w:szCs w:val="24"/>
          <w:lang w:val="en-GB"/>
        </w:rPr>
        <w:t xml:space="preserve"> </w:t>
      </w:r>
    </w:p>
    <w:p w:rsidR="007A56E5" w:rsidRPr="00D9330B" w:rsidRDefault="007A56E5" w:rsidP="00B64EBC">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That urban-based pressure groups would be weaker in Brazil is hardly surprising given the country’s socioeconomic characteristics</w:t>
      </w:r>
      <w:r w:rsidR="00205292" w:rsidRPr="00D9330B">
        <w:rPr>
          <w:rFonts w:ascii="Times New Roman" w:hAnsi="Times New Roman" w:cs="Times New Roman"/>
          <w:sz w:val="24"/>
          <w:szCs w:val="24"/>
          <w:lang w:val="en-GB"/>
        </w:rPr>
        <w:t xml:space="preserve"> at the time</w:t>
      </w:r>
      <w:r w:rsidR="00200BCC">
        <w:rPr>
          <w:rFonts w:ascii="Times New Roman" w:hAnsi="Times New Roman" w:cs="Times New Roman"/>
          <w:sz w:val="24"/>
          <w:szCs w:val="24"/>
          <w:lang w:val="en-GB"/>
        </w:rPr>
        <w:t>. A</w:t>
      </w:r>
      <w:r w:rsidR="007626F4">
        <w:rPr>
          <w:rFonts w:ascii="Times New Roman" w:hAnsi="Times New Roman" w:cs="Times New Roman"/>
          <w:sz w:val="24"/>
          <w:szCs w:val="24"/>
          <w:lang w:val="en-GB"/>
        </w:rPr>
        <w:t>lthough parts of southern Brazil were relatively industrialized, their</w:t>
      </w:r>
      <w:r w:rsidR="008F6AF7">
        <w:rPr>
          <w:rFonts w:ascii="Times New Roman" w:hAnsi="Times New Roman" w:cs="Times New Roman"/>
          <w:sz w:val="24"/>
          <w:szCs w:val="24"/>
          <w:lang w:val="en-GB"/>
        </w:rPr>
        <w:t xml:space="preserve"> influence was counterbalanced by the extreme backwardness of the northern part of the country, which retained a large population.</w:t>
      </w:r>
      <w:r w:rsidR="00200BCC">
        <w:rPr>
          <w:rFonts w:ascii="Times New Roman" w:hAnsi="Times New Roman" w:cs="Times New Roman"/>
          <w:sz w:val="24"/>
          <w:szCs w:val="24"/>
          <w:lang w:val="en-GB"/>
        </w:rPr>
        <w:t xml:space="preserve"> </w:t>
      </w:r>
      <w:r w:rsidR="008F6AF7">
        <w:rPr>
          <w:rFonts w:ascii="Times New Roman" w:hAnsi="Times New Roman" w:cs="Times New Roman"/>
          <w:sz w:val="24"/>
          <w:szCs w:val="24"/>
          <w:lang w:val="en-GB"/>
        </w:rPr>
        <w:t xml:space="preserve">As Table 4 demonstrates, </w:t>
      </w:r>
      <w:r w:rsidRPr="00D9330B">
        <w:rPr>
          <w:rFonts w:ascii="Times New Roman" w:hAnsi="Times New Roman" w:cs="Times New Roman"/>
          <w:sz w:val="24"/>
          <w:szCs w:val="24"/>
          <w:lang w:val="en-GB"/>
        </w:rPr>
        <w:t>Bra</w:t>
      </w:r>
      <w:r w:rsidR="002D2E79" w:rsidRPr="00D9330B">
        <w:rPr>
          <w:rFonts w:ascii="Times New Roman" w:hAnsi="Times New Roman" w:cs="Times New Roman"/>
          <w:sz w:val="24"/>
          <w:szCs w:val="24"/>
          <w:lang w:val="en-GB"/>
        </w:rPr>
        <w:t xml:space="preserve">zil </w:t>
      </w:r>
      <w:r w:rsidR="002D2E79" w:rsidRPr="00D9330B">
        <w:rPr>
          <w:rFonts w:ascii="Times New Roman" w:hAnsi="Times New Roman" w:cs="Times New Roman"/>
          <w:sz w:val="24"/>
          <w:szCs w:val="24"/>
          <w:lang w:val="en-GB"/>
        </w:rPr>
        <w:lastRenderedPageBreak/>
        <w:t>circa 1960 was</w:t>
      </w:r>
      <w:r w:rsidR="00D44E08" w:rsidRPr="00D9330B">
        <w:rPr>
          <w:rFonts w:ascii="Times New Roman" w:hAnsi="Times New Roman" w:cs="Times New Roman"/>
          <w:sz w:val="24"/>
          <w:szCs w:val="24"/>
          <w:lang w:val="en-GB"/>
        </w:rPr>
        <w:t xml:space="preserve"> </w:t>
      </w:r>
      <w:r w:rsidR="00AB381C">
        <w:rPr>
          <w:rFonts w:ascii="Times New Roman" w:hAnsi="Times New Roman" w:cs="Times New Roman"/>
          <w:sz w:val="24"/>
          <w:szCs w:val="24"/>
          <w:lang w:val="en-GB"/>
        </w:rPr>
        <w:t xml:space="preserve">substantially </w:t>
      </w:r>
      <w:r w:rsidR="00D44E08" w:rsidRPr="00D9330B">
        <w:rPr>
          <w:rFonts w:ascii="Times New Roman" w:hAnsi="Times New Roman" w:cs="Times New Roman"/>
          <w:sz w:val="24"/>
          <w:szCs w:val="24"/>
          <w:lang w:val="en-GB"/>
        </w:rPr>
        <w:t>poorer,</w:t>
      </w:r>
      <w:r w:rsidR="00862F81" w:rsidRPr="00D9330B">
        <w:rPr>
          <w:rFonts w:ascii="Times New Roman" w:hAnsi="Times New Roman" w:cs="Times New Roman"/>
          <w:sz w:val="24"/>
          <w:szCs w:val="24"/>
          <w:lang w:val="en-GB"/>
        </w:rPr>
        <w:t xml:space="preserve"> less industrialis</w:t>
      </w:r>
      <w:r w:rsidR="00D44E08" w:rsidRPr="00D9330B">
        <w:rPr>
          <w:rFonts w:ascii="Times New Roman" w:hAnsi="Times New Roman" w:cs="Times New Roman"/>
          <w:sz w:val="24"/>
          <w:szCs w:val="24"/>
          <w:lang w:val="en-GB"/>
        </w:rPr>
        <w:t>ed</w:t>
      </w:r>
      <w:r w:rsidR="005C109D" w:rsidRPr="00D9330B">
        <w:rPr>
          <w:rFonts w:ascii="Times New Roman" w:hAnsi="Times New Roman" w:cs="Times New Roman"/>
          <w:sz w:val="24"/>
          <w:szCs w:val="24"/>
          <w:lang w:val="en-GB"/>
        </w:rPr>
        <w:t>, more rural and less educated</w:t>
      </w:r>
      <w:r w:rsidR="008F6AF7">
        <w:rPr>
          <w:rFonts w:ascii="Times New Roman" w:hAnsi="Times New Roman" w:cs="Times New Roman"/>
          <w:sz w:val="24"/>
          <w:szCs w:val="24"/>
          <w:lang w:val="en-GB"/>
        </w:rPr>
        <w:t xml:space="preserve"> than the Southern Cone</w:t>
      </w:r>
      <w:r w:rsidR="002D2E79" w:rsidRPr="00D9330B">
        <w:rPr>
          <w:rFonts w:ascii="Times New Roman" w:hAnsi="Times New Roman" w:cs="Times New Roman"/>
          <w:sz w:val="24"/>
          <w:szCs w:val="24"/>
          <w:lang w:val="en-GB"/>
        </w:rPr>
        <w:t>. These features h</w:t>
      </w:r>
      <w:r w:rsidR="006B730D" w:rsidRPr="00D9330B">
        <w:rPr>
          <w:rFonts w:ascii="Times New Roman" w:hAnsi="Times New Roman" w:cs="Times New Roman"/>
          <w:sz w:val="24"/>
          <w:szCs w:val="24"/>
          <w:lang w:val="en-GB"/>
        </w:rPr>
        <w:t xml:space="preserve">indered popular political organisation and the development of </w:t>
      </w:r>
      <w:r w:rsidR="009B7444" w:rsidRPr="00D9330B">
        <w:rPr>
          <w:rFonts w:ascii="Times New Roman" w:hAnsi="Times New Roman" w:cs="Times New Roman"/>
          <w:sz w:val="24"/>
          <w:szCs w:val="24"/>
          <w:lang w:val="en-GB"/>
        </w:rPr>
        <w:t>progressive</w:t>
      </w:r>
      <w:r w:rsidR="006B730D" w:rsidRPr="00D9330B">
        <w:rPr>
          <w:rFonts w:ascii="Times New Roman" w:hAnsi="Times New Roman" w:cs="Times New Roman"/>
          <w:sz w:val="24"/>
          <w:szCs w:val="24"/>
          <w:lang w:val="en-GB"/>
        </w:rPr>
        <w:t xml:space="preserve"> parties</w:t>
      </w:r>
      <w:r w:rsidR="00205292" w:rsidRPr="00D9330B">
        <w:rPr>
          <w:rFonts w:ascii="Times New Roman" w:hAnsi="Times New Roman" w:cs="Times New Roman"/>
          <w:sz w:val="24"/>
          <w:szCs w:val="24"/>
          <w:lang w:val="en-GB"/>
        </w:rPr>
        <w:t>.</w:t>
      </w:r>
    </w:p>
    <w:p w:rsidR="00C46EB0" w:rsidRDefault="00C46EB0" w:rsidP="00C46EB0">
      <w:pPr>
        <w:spacing w:after="0" w:line="480" w:lineRule="auto"/>
        <w:rPr>
          <w:rFonts w:ascii="Times New Roman" w:hAnsi="Times New Roman" w:cs="Times New Roman"/>
          <w:sz w:val="24"/>
          <w:szCs w:val="24"/>
          <w:lang w:val="en-GB"/>
        </w:rPr>
      </w:pPr>
    </w:p>
    <w:p w:rsidR="00C46EB0" w:rsidRPr="00C63EC0" w:rsidRDefault="00C46EB0" w:rsidP="00C46EB0">
      <w:pPr>
        <w:spacing w:after="0" w:line="480" w:lineRule="auto"/>
        <w:rPr>
          <w:rFonts w:ascii="Times New Roman" w:hAnsi="Times New Roman" w:cs="Times New Roman"/>
          <w:sz w:val="24"/>
          <w:szCs w:val="24"/>
          <w:lang w:val="en-GB"/>
        </w:rPr>
      </w:pPr>
      <w:r w:rsidRPr="00C63EC0">
        <w:rPr>
          <w:rFonts w:ascii="Times New Roman" w:hAnsi="Times New Roman" w:cs="Times New Roman"/>
          <w:sz w:val="24"/>
          <w:szCs w:val="24"/>
          <w:lang w:val="en-GB"/>
        </w:rPr>
        <w:t>Table 4</w:t>
      </w:r>
      <w:r>
        <w:rPr>
          <w:rFonts w:ascii="Times New Roman" w:hAnsi="Times New Roman" w:cs="Times New Roman"/>
          <w:sz w:val="24"/>
          <w:szCs w:val="24"/>
          <w:lang w:val="en-GB"/>
        </w:rPr>
        <w:t>.</w:t>
      </w:r>
      <w:r w:rsidRPr="00C63EC0">
        <w:rPr>
          <w:rFonts w:ascii="Times New Roman" w:hAnsi="Times New Roman" w:cs="Times New Roman"/>
          <w:sz w:val="24"/>
          <w:szCs w:val="24"/>
          <w:lang w:val="en-GB"/>
        </w:rPr>
        <w:t xml:space="preserve"> </w:t>
      </w:r>
      <w:r w:rsidRPr="00C63EC0">
        <w:rPr>
          <w:rFonts w:ascii="Times New Roman" w:hAnsi="Times New Roman" w:cs="Times New Roman"/>
          <w:i/>
          <w:sz w:val="24"/>
          <w:szCs w:val="24"/>
          <w:lang w:val="en-GB"/>
        </w:rPr>
        <w:t>Key Development Indicators, 1960</w:t>
      </w:r>
      <w:r>
        <w:rPr>
          <w:rFonts w:ascii="Times New Roman" w:hAnsi="Times New Roman" w:cs="Times New Roman"/>
          <w:i/>
          <w:sz w:val="24"/>
          <w:szCs w:val="24"/>
          <w:lang w:val="en-GB"/>
        </w:rPr>
        <w:t xml:space="preserve"> v. 1980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927"/>
        <w:gridCol w:w="886"/>
        <w:gridCol w:w="1080"/>
        <w:gridCol w:w="810"/>
        <w:gridCol w:w="900"/>
        <w:gridCol w:w="810"/>
        <w:gridCol w:w="855"/>
        <w:gridCol w:w="855"/>
      </w:tblGrid>
      <w:tr w:rsidR="00C46EB0" w:rsidRPr="005424F7" w:rsidTr="00C46EB0">
        <w:tc>
          <w:tcPr>
            <w:tcW w:w="1535"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Country</w:t>
            </w:r>
          </w:p>
        </w:tc>
        <w:tc>
          <w:tcPr>
            <w:tcW w:w="1813" w:type="dxa"/>
            <w:gridSpan w:val="2"/>
            <w:hideMark/>
          </w:tcPr>
          <w:p w:rsidR="00C46EB0"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GDP per capita</w:t>
            </w:r>
          </w:p>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(1970 PPP$)</w:t>
            </w:r>
          </w:p>
        </w:tc>
        <w:tc>
          <w:tcPr>
            <w:tcW w:w="1890" w:type="dxa"/>
            <w:gridSpan w:val="2"/>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Industrial share labo</w:t>
            </w:r>
            <w:r>
              <w:rPr>
                <w:rFonts w:ascii="Times New Roman" w:hAnsi="Times New Roman" w:cs="Times New Roman"/>
                <w:sz w:val="24"/>
                <w:szCs w:val="24"/>
                <w:lang w:val="en-GB"/>
              </w:rPr>
              <w:t>u</w:t>
            </w:r>
            <w:r w:rsidRPr="005424F7">
              <w:rPr>
                <w:rFonts w:ascii="Times New Roman" w:hAnsi="Times New Roman" w:cs="Times New Roman"/>
                <w:sz w:val="24"/>
                <w:szCs w:val="24"/>
                <w:lang w:val="en-GB"/>
              </w:rPr>
              <w:t xml:space="preserve">r force (%) </w:t>
            </w:r>
          </w:p>
        </w:tc>
        <w:tc>
          <w:tcPr>
            <w:tcW w:w="1710" w:type="dxa"/>
            <w:gridSpan w:val="2"/>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Urban share population (%)</w:t>
            </w:r>
          </w:p>
        </w:tc>
        <w:tc>
          <w:tcPr>
            <w:tcW w:w="1710" w:type="dxa"/>
            <w:gridSpan w:val="2"/>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Adult Literacy rate (%)</w:t>
            </w:r>
          </w:p>
        </w:tc>
      </w:tr>
      <w:tr w:rsidR="00C46EB0" w:rsidRPr="005424F7" w:rsidTr="00C46EB0">
        <w:tc>
          <w:tcPr>
            <w:tcW w:w="1535" w:type="dxa"/>
          </w:tcPr>
          <w:p w:rsidR="00C46EB0" w:rsidRPr="005424F7" w:rsidRDefault="00C46EB0" w:rsidP="00712E3A">
            <w:pPr>
              <w:rPr>
                <w:rFonts w:ascii="Times New Roman" w:hAnsi="Times New Roman" w:cs="Times New Roman"/>
                <w:sz w:val="24"/>
                <w:szCs w:val="24"/>
                <w:lang w:val="en-GB"/>
              </w:rPr>
            </w:pPr>
          </w:p>
        </w:tc>
        <w:tc>
          <w:tcPr>
            <w:tcW w:w="927"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1960</w:t>
            </w:r>
          </w:p>
        </w:tc>
        <w:tc>
          <w:tcPr>
            <w:tcW w:w="886"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1980</w:t>
            </w:r>
          </w:p>
        </w:tc>
        <w:tc>
          <w:tcPr>
            <w:tcW w:w="108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1960</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1980</w:t>
            </w:r>
          </w:p>
        </w:tc>
        <w:tc>
          <w:tcPr>
            <w:tcW w:w="90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1960</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1980</w:t>
            </w:r>
          </w:p>
        </w:tc>
        <w:tc>
          <w:tcPr>
            <w:tcW w:w="855" w:type="dxa"/>
          </w:tcPr>
          <w:p w:rsidR="00C46EB0"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1960</w:t>
            </w:r>
          </w:p>
        </w:tc>
        <w:tc>
          <w:tcPr>
            <w:tcW w:w="855" w:type="dxa"/>
          </w:tcPr>
          <w:p w:rsidR="00C46EB0"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1980</w:t>
            </w:r>
          </w:p>
        </w:tc>
      </w:tr>
      <w:tr w:rsidR="00C46EB0" w:rsidRPr="005424F7" w:rsidTr="00C46EB0">
        <w:tc>
          <w:tcPr>
            <w:tcW w:w="1535"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Argentina</w:t>
            </w:r>
          </w:p>
        </w:tc>
        <w:tc>
          <w:tcPr>
            <w:tcW w:w="927"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941</w:t>
            </w:r>
          </w:p>
        </w:tc>
        <w:tc>
          <w:tcPr>
            <w:tcW w:w="886"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1.333</w:t>
            </w:r>
          </w:p>
        </w:tc>
        <w:tc>
          <w:tcPr>
            <w:tcW w:w="1080" w:type="dxa"/>
            <w:hideMark/>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27.1</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21.0</w:t>
            </w:r>
          </w:p>
        </w:tc>
        <w:tc>
          <w:tcPr>
            <w:tcW w:w="900" w:type="dxa"/>
            <w:hideMark/>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73.6</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82.9</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91</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94</w:t>
            </w:r>
          </w:p>
        </w:tc>
      </w:tr>
      <w:tr w:rsidR="00C46EB0" w:rsidRPr="005424F7" w:rsidTr="00C46EB0">
        <w:tc>
          <w:tcPr>
            <w:tcW w:w="1535"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Brazil</w:t>
            </w:r>
          </w:p>
        </w:tc>
        <w:tc>
          <w:tcPr>
            <w:tcW w:w="927"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339</w:t>
            </w:r>
          </w:p>
        </w:tc>
        <w:tc>
          <w:tcPr>
            <w:tcW w:w="886"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801</w:t>
            </w:r>
          </w:p>
        </w:tc>
        <w:tc>
          <w:tcPr>
            <w:tcW w:w="1080" w:type="dxa"/>
            <w:hideMark/>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14.0</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19.3</w:t>
            </w:r>
          </w:p>
        </w:tc>
        <w:tc>
          <w:tcPr>
            <w:tcW w:w="900"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44.9</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66.2</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60</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76</w:t>
            </w:r>
          </w:p>
        </w:tc>
      </w:tr>
      <w:tr w:rsidR="00C46EB0" w:rsidRPr="005424F7" w:rsidTr="00C46EB0">
        <w:tc>
          <w:tcPr>
            <w:tcW w:w="1535"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 xml:space="preserve">Chile </w:t>
            </w:r>
          </w:p>
        </w:tc>
        <w:tc>
          <w:tcPr>
            <w:tcW w:w="927"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679</w:t>
            </w:r>
          </w:p>
        </w:tc>
        <w:tc>
          <w:tcPr>
            <w:tcW w:w="886"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958</w:t>
            </w:r>
          </w:p>
        </w:tc>
        <w:tc>
          <w:tcPr>
            <w:tcW w:w="1080" w:type="dxa"/>
            <w:hideMark/>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18.8</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19.8</w:t>
            </w:r>
          </w:p>
        </w:tc>
        <w:tc>
          <w:tcPr>
            <w:tcW w:w="900"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67.8</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81.2</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84</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92</w:t>
            </w:r>
          </w:p>
        </w:tc>
      </w:tr>
      <w:tr w:rsidR="00C46EB0" w:rsidRPr="005424F7" w:rsidTr="00C46EB0">
        <w:tc>
          <w:tcPr>
            <w:tcW w:w="1535"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Uruguay</w:t>
            </w:r>
          </w:p>
        </w:tc>
        <w:tc>
          <w:tcPr>
            <w:tcW w:w="927"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902</w:t>
            </w:r>
          </w:p>
        </w:tc>
        <w:tc>
          <w:tcPr>
            <w:tcW w:w="886"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963</w:t>
            </w:r>
          </w:p>
        </w:tc>
        <w:tc>
          <w:tcPr>
            <w:tcW w:w="1080" w:type="dxa"/>
            <w:hideMark/>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23.4</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24.7</w:t>
            </w:r>
          </w:p>
        </w:tc>
        <w:tc>
          <w:tcPr>
            <w:tcW w:w="900" w:type="dxa"/>
            <w:hideMark/>
          </w:tcPr>
          <w:p w:rsidR="00C46EB0" w:rsidRPr="005424F7" w:rsidRDefault="00C46EB0" w:rsidP="00712E3A">
            <w:pPr>
              <w:rPr>
                <w:rFonts w:ascii="Times New Roman" w:hAnsi="Times New Roman" w:cs="Times New Roman"/>
                <w:sz w:val="24"/>
                <w:szCs w:val="24"/>
                <w:lang w:val="en-GB"/>
              </w:rPr>
            </w:pPr>
            <w:r w:rsidRPr="005424F7">
              <w:rPr>
                <w:rFonts w:ascii="Times New Roman" w:hAnsi="Times New Roman" w:cs="Times New Roman"/>
                <w:sz w:val="24"/>
                <w:szCs w:val="24"/>
                <w:lang w:val="en-GB"/>
              </w:rPr>
              <w:t>80.1</w:t>
            </w:r>
          </w:p>
        </w:tc>
        <w:tc>
          <w:tcPr>
            <w:tcW w:w="810"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85.2</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855" w:type="dxa"/>
          </w:tcPr>
          <w:p w:rsidR="00C46EB0" w:rsidRPr="005424F7" w:rsidRDefault="00C46EB0" w:rsidP="00712E3A">
            <w:pPr>
              <w:rPr>
                <w:rFonts w:ascii="Times New Roman" w:hAnsi="Times New Roman" w:cs="Times New Roman"/>
                <w:sz w:val="24"/>
                <w:szCs w:val="24"/>
                <w:lang w:val="en-GB"/>
              </w:rPr>
            </w:pPr>
            <w:r>
              <w:rPr>
                <w:rFonts w:ascii="Times New Roman" w:hAnsi="Times New Roman" w:cs="Times New Roman"/>
                <w:sz w:val="24"/>
                <w:szCs w:val="24"/>
                <w:lang w:val="en-GB"/>
              </w:rPr>
              <w:t>95</w:t>
            </w:r>
          </w:p>
        </w:tc>
      </w:tr>
      <w:tr w:rsidR="00C46EB0" w:rsidRPr="005424F7" w:rsidTr="00C46EB0">
        <w:tc>
          <w:tcPr>
            <w:tcW w:w="8658" w:type="dxa"/>
            <w:gridSpan w:val="9"/>
          </w:tcPr>
          <w:p w:rsidR="00712E3A" w:rsidRDefault="00712E3A" w:rsidP="00C46EB0">
            <w:pPr>
              <w:rPr>
                <w:rFonts w:ascii="Times New Roman" w:hAnsi="Times New Roman" w:cs="Times New Roman"/>
                <w:i/>
                <w:sz w:val="24"/>
                <w:szCs w:val="24"/>
                <w:lang w:val="en-GB"/>
              </w:rPr>
            </w:pPr>
          </w:p>
          <w:p w:rsidR="00C46EB0" w:rsidRPr="00C63EC0" w:rsidRDefault="00C46EB0" w:rsidP="00C46EB0">
            <w:pPr>
              <w:rPr>
                <w:rFonts w:ascii="Times New Roman" w:hAnsi="Times New Roman" w:cs="Times New Roman"/>
                <w:i/>
                <w:sz w:val="24"/>
                <w:szCs w:val="24"/>
                <w:lang w:val="en-GB"/>
              </w:rPr>
            </w:pPr>
            <w:r w:rsidRPr="00C63EC0">
              <w:rPr>
                <w:rFonts w:ascii="Times New Roman" w:hAnsi="Times New Roman" w:cs="Times New Roman"/>
                <w:i/>
                <w:sz w:val="24"/>
                <w:szCs w:val="24"/>
                <w:lang w:val="en-GB"/>
              </w:rPr>
              <w:t>Sources</w:t>
            </w:r>
            <w:r>
              <w:rPr>
                <w:rFonts w:ascii="Times New Roman" w:hAnsi="Times New Roman" w:cs="Times New Roman"/>
                <w:sz w:val="24"/>
                <w:szCs w:val="24"/>
                <w:lang w:val="en-GB"/>
              </w:rPr>
              <w:t xml:space="preserve">: </w:t>
            </w:r>
            <w:proofErr w:type="spellStart"/>
            <w:r w:rsidRPr="00796572">
              <w:rPr>
                <w:rFonts w:ascii="Times New Roman" w:hAnsi="Times New Roman" w:cs="Times New Roman"/>
                <w:sz w:val="24"/>
                <w:szCs w:val="24"/>
                <w:lang w:val="en-GB"/>
              </w:rPr>
              <w:t>Astorga</w:t>
            </w:r>
            <w:proofErr w:type="spellEnd"/>
            <w:r w:rsidRPr="00796572">
              <w:rPr>
                <w:rFonts w:ascii="Times New Roman" w:hAnsi="Times New Roman" w:cs="Times New Roman"/>
                <w:sz w:val="24"/>
                <w:szCs w:val="24"/>
                <w:lang w:val="en-GB"/>
              </w:rPr>
              <w:t xml:space="preserve">, Pablo, </w:t>
            </w:r>
            <w:proofErr w:type="spellStart"/>
            <w:r w:rsidRPr="00796572">
              <w:rPr>
                <w:rFonts w:ascii="Times New Roman" w:hAnsi="Times New Roman" w:cs="Times New Roman"/>
                <w:sz w:val="24"/>
                <w:szCs w:val="24"/>
                <w:lang w:val="en-GB"/>
              </w:rPr>
              <w:t>Ame</w:t>
            </w:r>
            <w:proofErr w:type="spellEnd"/>
            <w:r w:rsidRPr="00796572">
              <w:rPr>
                <w:rFonts w:ascii="Times New Roman" w:hAnsi="Times New Roman" w:cs="Times New Roman"/>
                <w:sz w:val="24"/>
                <w:szCs w:val="24"/>
                <w:lang w:val="en-GB"/>
              </w:rPr>
              <w:t xml:space="preserve"> R. </w:t>
            </w:r>
            <w:proofErr w:type="spellStart"/>
            <w:r w:rsidRPr="00796572">
              <w:rPr>
                <w:rFonts w:ascii="Times New Roman" w:hAnsi="Times New Roman" w:cs="Times New Roman"/>
                <w:sz w:val="24"/>
                <w:szCs w:val="24"/>
                <w:lang w:val="en-GB"/>
              </w:rPr>
              <w:t>Berges</w:t>
            </w:r>
            <w:proofErr w:type="spellEnd"/>
            <w:r w:rsidRPr="00796572">
              <w:rPr>
                <w:rFonts w:ascii="Times New Roman" w:hAnsi="Times New Roman" w:cs="Times New Roman"/>
                <w:sz w:val="24"/>
                <w:szCs w:val="24"/>
                <w:lang w:val="en-GB"/>
              </w:rPr>
              <w:t xml:space="preserve">, and </w:t>
            </w:r>
            <w:proofErr w:type="spellStart"/>
            <w:r w:rsidRPr="00796572">
              <w:rPr>
                <w:rFonts w:ascii="Times New Roman" w:hAnsi="Times New Roman" w:cs="Times New Roman"/>
                <w:sz w:val="24"/>
                <w:szCs w:val="24"/>
                <w:lang w:val="en-GB"/>
              </w:rPr>
              <w:t>Valpy</w:t>
            </w:r>
            <w:proofErr w:type="spellEnd"/>
            <w:r w:rsidRPr="00796572">
              <w:rPr>
                <w:rFonts w:ascii="Times New Roman" w:hAnsi="Times New Roman" w:cs="Times New Roman"/>
                <w:sz w:val="24"/>
                <w:szCs w:val="24"/>
                <w:lang w:val="en-GB"/>
              </w:rPr>
              <w:t xml:space="preserve"> Fitzgerald</w:t>
            </w:r>
            <w:r>
              <w:rPr>
                <w:rFonts w:ascii="Times New Roman" w:hAnsi="Times New Roman" w:cs="Times New Roman"/>
                <w:sz w:val="24"/>
                <w:szCs w:val="24"/>
                <w:lang w:val="en-GB"/>
              </w:rPr>
              <w:t>, ‘</w:t>
            </w:r>
            <w:r w:rsidRPr="00796572">
              <w:rPr>
                <w:rFonts w:ascii="Times New Roman" w:hAnsi="Times New Roman" w:cs="Times New Roman"/>
                <w:sz w:val="24"/>
                <w:szCs w:val="24"/>
                <w:lang w:val="en-GB"/>
              </w:rPr>
              <w:t>The Standard of Living in Latin America during the Twentieth C</w:t>
            </w:r>
            <w:r>
              <w:rPr>
                <w:rFonts w:ascii="Times New Roman" w:hAnsi="Times New Roman" w:cs="Times New Roman"/>
                <w:sz w:val="24"/>
                <w:szCs w:val="24"/>
                <w:lang w:val="en-GB"/>
              </w:rPr>
              <w:t>entury’,</w:t>
            </w:r>
            <w:r w:rsidRPr="00796572">
              <w:rPr>
                <w:rFonts w:ascii="Times New Roman" w:hAnsi="Times New Roman" w:cs="Times New Roman"/>
                <w:sz w:val="24"/>
                <w:szCs w:val="24"/>
                <w:lang w:val="en-GB"/>
              </w:rPr>
              <w:t xml:space="preserve"> </w:t>
            </w:r>
            <w:r w:rsidRPr="00796572">
              <w:rPr>
                <w:rFonts w:ascii="Times New Roman" w:hAnsi="Times New Roman" w:cs="Times New Roman"/>
                <w:i/>
                <w:sz w:val="24"/>
                <w:szCs w:val="24"/>
                <w:lang w:val="en-GB"/>
              </w:rPr>
              <w:t>Economic History Review</w:t>
            </w:r>
            <w:r>
              <w:rPr>
                <w:rFonts w:ascii="Times New Roman" w:hAnsi="Times New Roman" w:cs="Times New Roman"/>
                <w:sz w:val="24"/>
                <w:szCs w:val="24"/>
                <w:lang w:val="en-GB"/>
              </w:rPr>
              <w:t xml:space="preserve"> 58:</w:t>
            </w:r>
            <w:r w:rsidRPr="00796572">
              <w:rPr>
                <w:rFonts w:ascii="Times New Roman" w:hAnsi="Times New Roman" w:cs="Times New Roman"/>
                <w:sz w:val="24"/>
                <w:szCs w:val="24"/>
                <w:lang w:val="en-GB"/>
              </w:rPr>
              <w:t xml:space="preserve"> 4</w:t>
            </w:r>
            <w:r>
              <w:rPr>
                <w:rFonts w:ascii="Times New Roman" w:hAnsi="Times New Roman" w:cs="Times New Roman"/>
                <w:sz w:val="24"/>
                <w:szCs w:val="24"/>
                <w:lang w:val="en-GB"/>
              </w:rPr>
              <w:t xml:space="preserve"> (2005), pp. 788; </w:t>
            </w:r>
            <w:proofErr w:type="spellStart"/>
            <w:r>
              <w:rPr>
                <w:rFonts w:ascii="Times New Roman" w:hAnsi="Times New Roman" w:cs="Times New Roman"/>
                <w:sz w:val="24"/>
                <w:szCs w:val="24"/>
                <w:lang w:val="en-GB"/>
              </w:rPr>
              <w:t>MOxLAD</w:t>
            </w:r>
            <w:proofErr w:type="spellEnd"/>
            <w:r>
              <w:rPr>
                <w:rFonts w:ascii="Times New Roman" w:hAnsi="Times New Roman" w:cs="Times New Roman"/>
                <w:sz w:val="24"/>
                <w:szCs w:val="24"/>
                <w:lang w:val="en-GB"/>
              </w:rPr>
              <w:t xml:space="preserve">, op. cit.; </w:t>
            </w:r>
            <w:proofErr w:type="spellStart"/>
            <w:r>
              <w:rPr>
                <w:rFonts w:ascii="Times New Roman" w:hAnsi="Times New Roman" w:cs="Times New Roman"/>
                <w:sz w:val="24"/>
                <w:szCs w:val="24"/>
                <w:lang w:val="en-GB"/>
              </w:rPr>
              <w:t>Programa</w:t>
            </w:r>
            <w:proofErr w:type="spellEnd"/>
            <w:r>
              <w:rPr>
                <w:rFonts w:ascii="Times New Roman" w:hAnsi="Times New Roman" w:cs="Times New Roman"/>
                <w:sz w:val="24"/>
                <w:szCs w:val="24"/>
                <w:lang w:val="en-GB"/>
              </w:rPr>
              <w:t xml:space="preserve"> Regional del </w:t>
            </w:r>
            <w:proofErr w:type="spellStart"/>
            <w:r>
              <w:rPr>
                <w:rFonts w:ascii="Times New Roman" w:hAnsi="Times New Roman" w:cs="Times New Roman"/>
                <w:sz w:val="24"/>
                <w:szCs w:val="24"/>
                <w:lang w:val="en-GB"/>
              </w:rPr>
              <w:t>Empleo</w:t>
            </w:r>
            <w:proofErr w:type="spellEnd"/>
            <w:r>
              <w:rPr>
                <w:rFonts w:ascii="Times New Roman" w:hAnsi="Times New Roman" w:cs="Times New Roman"/>
                <w:sz w:val="24"/>
                <w:szCs w:val="24"/>
                <w:lang w:val="en-GB"/>
              </w:rPr>
              <w:t xml:space="preserve"> para </w:t>
            </w:r>
            <w:proofErr w:type="spellStart"/>
            <w:r>
              <w:rPr>
                <w:rFonts w:ascii="Times New Roman" w:hAnsi="Times New Roman" w:cs="Times New Roman"/>
                <w:sz w:val="24"/>
                <w:szCs w:val="24"/>
                <w:lang w:val="en-GB"/>
              </w:rPr>
              <w:t>América</w:t>
            </w:r>
            <w:proofErr w:type="spellEnd"/>
            <w:r>
              <w:rPr>
                <w:rFonts w:ascii="Times New Roman" w:hAnsi="Times New Roman" w:cs="Times New Roman"/>
                <w:sz w:val="24"/>
                <w:szCs w:val="24"/>
                <w:lang w:val="en-GB"/>
              </w:rPr>
              <w:t xml:space="preserve"> Latin y el Caribe, </w:t>
            </w:r>
            <w:r w:rsidRPr="0094632E">
              <w:rPr>
                <w:rFonts w:ascii="Times New Roman" w:hAnsi="Times New Roman" w:cs="Times New Roman"/>
                <w:i/>
                <w:sz w:val="24"/>
                <w:szCs w:val="24"/>
                <w:lang w:val="en-GB"/>
              </w:rPr>
              <w:t xml:space="preserve">Mercado de </w:t>
            </w:r>
            <w:proofErr w:type="spellStart"/>
            <w:r w:rsidRPr="0094632E">
              <w:rPr>
                <w:rFonts w:ascii="Times New Roman" w:hAnsi="Times New Roman" w:cs="Times New Roman"/>
                <w:i/>
                <w:sz w:val="24"/>
                <w:szCs w:val="24"/>
                <w:lang w:val="en-GB"/>
              </w:rPr>
              <w:t>Trabajo</w:t>
            </w:r>
            <w:proofErr w:type="spellEnd"/>
            <w:r w:rsidRPr="0094632E">
              <w:rPr>
                <w:rFonts w:ascii="Times New Roman" w:hAnsi="Times New Roman" w:cs="Times New Roman"/>
                <w:i/>
                <w:sz w:val="24"/>
                <w:szCs w:val="24"/>
                <w:lang w:val="en-GB"/>
              </w:rPr>
              <w:t xml:space="preserve"> </w:t>
            </w:r>
            <w:proofErr w:type="spellStart"/>
            <w:r w:rsidRPr="0094632E">
              <w:rPr>
                <w:rFonts w:ascii="Times New Roman" w:hAnsi="Times New Roman" w:cs="Times New Roman"/>
                <w:i/>
                <w:sz w:val="24"/>
                <w:szCs w:val="24"/>
                <w:lang w:val="en-GB"/>
              </w:rPr>
              <w:t>en</w:t>
            </w:r>
            <w:proofErr w:type="spellEnd"/>
            <w:r w:rsidRPr="0094632E">
              <w:rPr>
                <w:rFonts w:ascii="Times New Roman" w:hAnsi="Times New Roman" w:cs="Times New Roman"/>
                <w:i/>
                <w:sz w:val="24"/>
                <w:szCs w:val="24"/>
                <w:lang w:val="en-GB"/>
              </w:rPr>
              <w:t xml:space="preserve"> </w:t>
            </w:r>
            <w:proofErr w:type="spellStart"/>
            <w:r w:rsidRPr="0094632E">
              <w:rPr>
                <w:rFonts w:ascii="Times New Roman" w:hAnsi="Times New Roman" w:cs="Times New Roman"/>
                <w:i/>
                <w:sz w:val="24"/>
                <w:szCs w:val="24"/>
                <w:lang w:val="en-GB"/>
              </w:rPr>
              <w:t>Cifras</w:t>
            </w:r>
            <w:proofErr w:type="spellEnd"/>
            <w:r w:rsidRPr="0094632E">
              <w:rPr>
                <w:rFonts w:ascii="Times New Roman" w:hAnsi="Times New Roman" w:cs="Times New Roman"/>
                <w:i/>
                <w:sz w:val="24"/>
                <w:szCs w:val="24"/>
                <w:lang w:val="en-GB"/>
              </w:rPr>
              <w:t>, 1950-1980</w:t>
            </w:r>
            <w:r>
              <w:rPr>
                <w:rFonts w:ascii="Times New Roman" w:hAnsi="Times New Roman" w:cs="Times New Roman"/>
                <w:sz w:val="24"/>
                <w:szCs w:val="24"/>
                <w:lang w:val="en-GB"/>
              </w:rPr>
              <w:t>, 1982.</w:t>
            </w:r>
          </w:p>
        </w:tc>
      </w:tr>
    </w:tbl>
    <w:p w:rsidR="007A56E5" w:rsidRPr="00C46EB0" w:rsidRDefault="007A56E5" w:rsidP="007A56E5">
      <w:pPr>
        <w:tabs>
          <w:tab w:val="left" w:pos="3630"/>
          <w:tab w:val="center" w:pos="4680"/>
        </w:tabs>
        <w:spacing w:after="0" w:line="480" w:lineRule="auto"/>
        <w:jc w:val="center"/>
        <w:rPr>
          <w:rFonts w:ascii="Times New Roman" w:hAnsi="Times New Roman" w:cs="Times New Roman"/>
          <w:b/>
          <w:sz w:val="24"/>
          <w:szCs w:val="24"/>
        </w:rPr>
      </w:pPr>
    </w:p>
    <w:p w:rsidR="007A56E5" w:rsidRPr="00D9330B" w:rsidRDefault="007A56E5" w:rsidP="007A56E5">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Admittedly, Brazil’s 1964 coup was in part a reaction to concerns that left-l</w:t>
      </w:r>
      <w:r w:rsidR="007B385B" w:rsidRPr="00D9330B">
        <w:rPr>
          <w:rFonts w:ascii="Times New Roman" w:hAnsi="Times New Roman" w:cs="Times New Roman"/>
          <w:sz w:val="24"/>
          <w:szCs w:val="24"/>
          <w:lang w:val="en-GB"/>
        </w:rPr>
        <w:t>ea</w:t>
      </w:r>
      <w:r w:rsidR="007E63E6" w:rsidRPr="00D9330B">
        <w:rPr>
          <w:rFonts w:ascii="Times New Roman" w:hAnsi="Times New Roman" w:cs="Times New Roman"/>
          <w:sz w:val="24"/>
          <w:szCs w:val="24"/>
          <w:lang w:val="en-GB"/>
        </w:rPr>
        <w:t xml:space="preserve">ning </w:t>
      </w:r>
      <w:proofErr w:type="gramStart"/>
      <w:r w:rsidR="007E63E6" w:rsidRPr="00D9330B">
        <w:rPr>
          <w:rFonts w:ascii="Times New Roman" w:hAnsi="Times New Roman" w:cs="Times New Roman"/>
          <w:sz w:val="24"/>
          <w:szCs w:val="24"/>
          <w:lang w:val="en-GB"/>
        </w:rPr>
        <w:t>politicians</w:t>
      </w:r>
      <w:proofErr w:type="gramEnd"/>
      <w:r w:rsidR="007E63E6" w:rsidRPr="00D9330B">
        <w:rPr>
          <w:rFonts w:ascii="Times New Roman" w:hAnsi="Times New Roman" w:cs="Times New Roman"/>
          <w:sz w:val="24"/>
          <w:szCs w:val="24"/>
          <w:lang w:val="en-GB"/>
        </w:rPr>
        <w:t>, especially</w:t>
      </w:r>
      <w:r w:rsidRPr="00D9330B">
        <w:rPr>
          <w:rFonts w:ascii="Times New Roman" w:hAnsi="Times New Roman" w:cs="Times New Roman"/>
          <w:sz w:val="24"/>
          <w:szCs w:val="24"/>
          <w:lang w:val="en-GB"/>
        </w:rPr>
        <w:t xml:space="preserve"> embattled president </w:t>
      </w:r>
      <w:proofErr w:type="spellStart"/>
      <w:r w:rsidRPr="00D9330B">
        <w:rPr>
          <w:rFonts w:ascii="Times New Roman" w:hAnsi="Times New Roman" w:cs="Times New Roman"/>
          <w:sz w:val="24"/>
          <w:szCs w:val="24"/>
          <w:lang w:val="en-GB"/>
        </w:rPr>
        <w:t>João</w:t>
      </w:r>
      <w:proofErr w:type="spellEnd"/>
      <w:r w:rsidRPr="00D9330B">
        <w:rPr>
          <w:rFonts w:ascii="Times New Roman" w:hAnsi="Times New Roman" w:cs="Times New Roman"/>
          <w:sz w:val="24"/>
          <w:szCs w:val="24"/>
          <w:lang w:val="en-GB"/>
        </w:rPr>
        <w:t xml:space="preserve"> </w:t>
      </w:r>
      <w:proofErr w:type="spellStart"/>
      <w:r w:rsidRPr="00D9330B">
        <w:rPr>
          <w:rFonts w:ascii="Times New Roman" w:hAnsi="Times New Roman" w:cs="Times New Roman"/>
          <w:sz w:val="24"/>
          <w:szCs w:val="24"/>
          <w:lang w:val="en-GB"/>
        </w:rPr>
        <w:t>Goulart</w:t>
      </w:r>
      <w:proofErr w:type="spellEnd"/>
      <w:r w:rsidRPr="00D9330B">
        <w:rPr>
          <w:rFonts w:ascii="Times New Roman" w:hAnsi="Times New Roman" w:cs="Times New Roman"/>
          <w:sz w:val="24"/>
          <w:szCs w:val="24"/>
          <w:lang w:val="en-GB"/>
        </w:rPr>
        <w:t>, would use the promise of redistribution to stoke lower-class mobilisation.</w:t>
      </w:r>
      <w:r w:rsidRPr="00D9330B">
        <w:rPr>
          <w:rStyle w:val="FootnoteReference"/>
          <w:rFonts w:ascii="Times New Roman" w:hAnsi="Times New Roman" w:cs="Times New Roman"/>
          <w:sz w:val="24"/>
          <w:szCs w:val="24"/>
          <w:lang w:val="en-GB"/>
        </w:rPr>
        <w:footnoteReference w:id="79"/>
      </w:r>
      <w:r w:rsidRPr="00D9330B">
        <w:rPr>
          <w:rFonts w:ascii="Times New Roman" w:hAnsi="Times New Roman" w:cs="Times New Roman"/>
          <w:sz w:val="24"/>
          <w:szCs w:val="24"/>
          <w:lang w:val="en-GB"/>
        </w:rPr>
        <w:t xml:space="preserve"> However, the crisis was essentially </w:t>
      </w:r>
      <w:proofErr w:type="spellStart"/>
      <w:r w:rsidRPr="00D9330B">
        <w:rPr>
          <w:rFonts w:ascii="Times New Roman" w:hAnsi="Times New Roman" w:cs="Times New Roman"/>
          <w:sz w:val="24"/>
          <w:szCs w:val="24"/>
          <w:lang w:val="en-GB"/>
        </w:rPr>
        <w:t>conjunctural</w:t>
      </w:r>
      <w:proofErr w:type="spellEnd"/>
      <w:r w:rsidRPr="00D9330B">
        <w:rPr>
          <w:rFonts w:ascii="Times New Roman" w:hAnsi="Times New Roman" w:cs="Times New Roman"/>
          <w:sz w:val="24"/>
          <w:szCs w:val="24"/>
          <w:lang w:val="en-GB"/>
        </w:rPr>
        <w:t>. Popular sectors had never gained enough influence to substantially shape the character of the state.</w:t>
      </w:r>
      <w:r w:rsidRPr="00D9330B">
        <w:rPr>
          <w:rStyle w:val="FootnoteReference"/>
          <w:rFonts w:ascii="Times New Roman" w:hAnsi="Times New Roman" w:cs="Times New Roman"/>
          <w:sz w:val="24"/>
          <w:szCs w:val="24"/>
          <w:lang w:val="en-GB"/>
        </w:rPr>
        <w:footnoteReference w:id="80"/>
      </w:r>
      <w:r w:rsidRPr="00D9330B">
        <w:rPr>
          <w:rFonts w:ascii="Times New Roman" w:hAnsi="Times New Roman" w:cs="Times New Roman"/>
          <w:sz w:val="24"/>
          <w:szCs w:val="24"/>
          <w:lang w:val="en-GB"/>
        </w:rPr>
        <w:t xml:space="preserve"> Brazil had not </w:t>
      </w:r>
      <w:r w:rsidR="00D04A91" w:rsidRPr="00D9330B">
        <w:rPr>
          <w:rFonts w:ascii="Times New Roman" w:hAnsi="Times New Roman" w:cs="Times New Roman"/>
          <w:sz w:val="24"/>
          <w:szCs w:val="24"/>
          <w:lang w:val="en-GB"/>
        </w:rPr>
        <w:t>seen the rise of a powerful leftist or populist coalition</w:t>
      </w:r>
      <w:r w:rsidRPr="00D9330B">
        <w:rPr>
          <w:rFonts w:ascii="Times New Roman" w:hAnsi="Times New Roman" w:cs="Times New Roman"/>
          <w:sz w:val="24"/>
          <w:szCs w:val="24"/>
          <w:lang w:val="en-GB"/>
        </w:rPr>
        <w:t xml:space="preserve"> of the kind that arose in </w:t>
      </w:r>
      <w:r w:rsidRPr="00D9330B">
        <w:rPr>
          <w:rFonts w:ascii="Times New Roman" w:hAnsi="Times New Roman" w:cs="Times New Roman"/>
          <w:sz w:val="24"/>
          <w:szCs w:val="24"/>
          <w:lang w:val="en-GB"/>
        </w:rPr>
        <w:lastRenderedPageBreak/>
        <w:t xml:space="preserve">each of the Southern Cone countries prior to their military coups. There was no real Brazilian analogue to </w:t>
      </w:r>
      <w:proofErr w:type="spellStart"/>
      <w:r w:rsidRPr="00D9330B">
        <w:rPr>
          <w:rFonts w:ascii="Times New Roman" w:hAnsi="Times New Roman" w:cs="Times New Roman"/>
          <w:i/>
          <w:sz w:val="24"/>
          <w:szCs w:val="24"/>
          <w:lang w:val="en-GB"/>
        </w:rPr>
        <w:t>Peronismo</w:t>
      </w:r>
      <w:proofErr w:type="spellEnd"/>
      <w:r w:rsidRPr="00D9330B">
        <w:rPr>
          <w:rFonts w:ascii="Times New Roman" w:hAnsi="Times New Roman" w:cs="Times New Roman"/>
          <w:sz w:val="24"/>
          <w:szCs w:val="24"/>
          <w:lang w:val="en-GB"/>
        </w:rPr>
        <w:t xml:space="preserve">, </w:t>
      </w:r>
      <w:proofErr w:type="spellStart"/>
      <w:r w:rsidRPr="00D9330B">
        <w:rPr>
          <w:rFonts w:ascii="Times New Roman" w:hAnsi="Times New Roman" w:cs="Times New Roman"/>
          <w:i/>
          <w:sz w:val="24"/>
          <w:szCs w:val="24"/>
          <w:lang w:val="en-GB"/>
        </w:rPr>
        <w:t>Battlismo</w:t>
      </w:r>
      <w:proofErr w:type="spellEnd"/>
      <w:r w:rsidRPr="00D9330B">
        <w:rPr>
          <w:rFonts w:ascii="Times New Roman" w:hAnsi="Times New Roman" w:cs="Times New Roman"/>
          <w:sz w:val="24"/>
          <w:szCs w:val="24"/>
          <w:lang w:val="en-GB"/>
        </w:rPr>
        <w:t xml:space="preserve">, or Allende’s </w:t>
      </w:r>
      <w:proofErr w:type="spellStart"/>
      <w:r w:rsidRPr="00D9330B">
        <w:rPr>
          <w:rFonts w:ascii="Times New Roman" w:hAnsi="Times New Roman" w:cs="Times New Roman"/>
          <w:sz w:val="24"/>
          <w:szCs w:val="24"/>
          <w:lang w:val="en-GB"/>
        </w:rPr>
        <w:t>Unidad</w:t>
      </w:r>
      <w:proofErr w:type="spellEnd"/>
      <w:r w:rsidRPr="00D9330B">
        <w:rPr>
          <w:rFonts w:ascii="Times New Roman" w:hAnsi="Times New Roman" w:cs="Times New Roman"/>
          <w:sz w:val="24"/>
          <w:szCs w:val="24"/>
          <w:lang w:val="en-GB"/>
        </w:rPr>
        <w:t xml:space="preserve"> Popular alliance. </w:t>
      </w:r>
      <w:proofErr w:type="spellStart"/>
      <w:r w:rsidRPr="00D9330B">
        <w:rPr>
          <w:rFonts w:ascii="Times New Roman" w:hAnsi="Times New Roman" w:cs="Times New Roman"/>
          <w:sz w:val="24"/>
          <w:szCs w:val="24"/>
          <w:lang w:val="en-GB"/>
        </w:rPr>
        <w:t>Getúlio</w:t>
      </w:r>
      <w:proofErr w:type="spellEnd"/>
      <w:r w:rsidRPr="00D9330B">
        <w:rPr>
          <w:rFonts w:ascii="Times New Roman" w:hAnsi="Times New Roman" w:cs="Times New Roman"/>
          <w:sz w:val="24"/>
          <w:szCs w:val="24"/>
          <w:lang w:val="en-GB"/>
        </w:rPr>
        <w:t xml:space="preserve"> Vargas, the closest thing to a</w:t>
      </w:r>
      <w:r w:rsidR="007E63E6" w:rsidRPr="00D9330B">
        <w:rPr>
          <w:rFonts w:ascii="Times New Roman" w:hAnsi="Times New Roman" w:cs="Times New Roman"/>
          <w:sz w:val="24"/>
          <w:szCs w:val="24"/>
          <w:lang w:val="en-GB"/>
        </w:rPr>
        <w:t xml:space="preserve"> major populist figure</w:t>
      </w:r>
      <w:r w:rsidRPr="00D9330B">
        <w:rPr>
          <w:rFonts w:ascii="Times New Roman" w:hAnsi="Times New Roman" w:cs="Times New Roman"/>
          <w:sz w:val="24"/>
          <w:szCs w:val="24"/>
          <w:lang w:val="en-GB"/>
        </w:rPr>
        <w:t xml:space="preserve">, was associated with two parties, but the strongest was the conservative </w:t>
      </w:r>
      <w:proofErr w:type="spellStart"/>
      <w:r w:rsidR="00205292" w:rsidRPr="00D9330B">
        <w:rPr>
          <w:rFonts w:ascii="Times New Roman" w:hAnsi="Times New Roman" w:cs="Times New Roman"/>
          <w:sz w:val="24"/>
          <w:szCs w:val="24"/>
          <w:lang w:val="en-GB"/>
        </w:rPr>
        <w:t>Partido</w:t>
      </w:r>
      <w:proofErr w:type="spellEnd"/>
      <w:r w:rsidR="00205292" w:rsidRPr="00D9330B">
        <w:rPr>
          <w:rFonts w:ascii="Times New Roman" w:hAnsi="Times New Roman" w:cs="Times New Roman"/>
          <w:sz w:val="24"/>
          <w:szCs w:val="24"/>
          <w:lang w:val="en-GB"/>
        </w:rPr>
        <w:t xml:space="preserve"> Social </w:t>
      </w:r>
      <w:proofErr w:type="spellStart"/>
      <w:r w:rsidR="00205292" w:rsidRPr="00D9330B">
        <w:rPr>
          <w:rFonts w:ascii="Times New Roman" w:hAnsi="Times New Roman" w:cs="Times New Roman"/>
          <w:sz w:val="24"/>
          <w:szCs w:val="24"/>
          <w:lang w:val="en-GB"/>
        </w:rPr>
        <w:t>D</w:t>
      </w:r>
      <w:r w:rsidRPr="00D9330B">
        <w:rPr>
          <w:rFonts w:ascii="Times New Roman" w:hAnsi="Times New Roman" w:cs="Times New Roman"/>
          <w:sz w:val="24"/>
          <w:szCs w:val="24"/>
          <w:lang w:val="en-GB"/>
        </w:rPr>
        <w:t>emocrático</w:t>
      </w:r>
      <w:proofErr w:type="spellEnd"/>
      <w:r w:rsidRPr="00D9330B">
        <w:rPr>
          <w:rFonts w:ascii="Times New Roman" w:hAnsi="Times New Roman" w:cs="Times New Roman"/>
          <w:sz w:val="24"/>
          <w:szCs w:val="24"/>
          <w:lang w:val="en-GB"/>
        </w:rPr>
        <w:t xml:space="preserve"> (Social Democratic Party, PSD). </w:t>
      </w:r>
      <w:proofErr w:type="spellStart"/>
      <w:r w:rsidRPr="00D9330B">
        <w:rPr>
          <w:rFonts w:ascii="Times New Roman" w:hAnsi="Times New Roman" w:cs="Times New Roman"/>
          <w:sz w:val="24"/>
          <w:szCs w:val="24"/>
          <w:lang w:val="en-GB"/>
        </w:rPr>
        <w:t>Goulart</w:t>
      </w:r>
      <w:proofErr w:type="spellEnd"/>
      <w:r w:rsidRPr="00D9330B">
        <w:rPr>
          <w:rFonts w:ascii="Times New Roman" w:hAnsi="Times New Roman" w:cs="Times New Roman"/>
          <w:sz w:val="24"/>
          <w:szCs w:val="24"/>
          <w:lang w:val="en-GB"/>
        </w:rPr>
        <w:t xml:space="preserve">, who represented the more progressive pro-Vargas party, the </w:t>
      </w:r>
      <w:proofErr w:type="spellStart"/>
      <w:r w:rsidRPr="00D9330B">
        <w:rPr>
          <w:rFonts w:ascii="Times New Roman" w:hAnsi="Times New Roman" w:cs="Times New Roman"/>
          <w:sz w:val="24"/>
          <w:szCs w:val="24"/>
          <w:lang w:val="en-GB"/>
        </w:rPr>
        <w:t>Partido</w:t>
      </w:r>
      <w:proofErr w:type="spellEnd"/>
      <w:r w:rsidRPr="00D9330B">
        <w:rPr>
          <w:rFonts w:ascii="Times New Roman" w:hAnsi="Times New Roman" w:cs="Times New Roman"/>
          <w:sz w:val="24"/>
          <w:szCs w:val="24"/>
          <w:lang w:val="en-GB"/>
        </w:rPr>
        <w:t xml:space="preserve"> </w:t>
      </w:r>
      <w:proofErr w:type="spellStart"/>
      <w:r w:rsidRPr="00D9330B">
        <w:rPr>
          <w:rFonts w:ascii="Times New Roman" w:hAnsi="Times New Roman" w:cs="Times New Roman"/>
          <w:sz w:val="24"/>
          <w:szCs w:val="24"/>
          <w:lang w:val="en-GB"/>
        </w:rPr>
        <w:t>Trabalhista</w:t>
      </w:r>
      <w:proofErr w:type="spellEnd"/>
      <w:r w:rsidRPr="00D9330B">
        <w:rPr>
          <w:rFonts w:ascii="Times New Roman" w:hAnsi="Times New Roman" w:cs="Times New Roman"/>
          <w:sz w:val="24"/>
          <w:szCs w:val="24"/>
          <w:lang w:val="en-GB"/>
        </w:rPr>
        <w:t xml:space="preserve"> </w:t>
      </w:r>
      <w:proofErr w:type="spellStart"/>
      <w:r w:rsidRPr="00D9330B">
        <w:rPr>
          <w:rFonts w:ascii="Times New Roman" w:hAnsi="Times New Roman" w:cs="Times New Roman"/>
          <w:sz w:val="24"/>
          <w:szCs w:val="24"/>
          <w:lang w:val="en-GB"/>
        </w:rPr>
        <w:t>Brasileiro</w:t>
      </w:r>
      <w:proofErr w:type="spellEnd"/>
      <w:r w:rsidRPr="00D9330B">
        <w:rPr>
          <w:rFonts w:ascii="Times New Roman" w:hAnsi="Times New Roman" w:cs="Times New Roman"/>
          <w:sz w:val="24"/>
          <w:szCs w:val="24"/>
          <w:lang w:val="en-GB"/>
        </w:rPr>
        <w:t xml:space="preserve"> (Brazilian Labour Party, PTB), became president by accident, when </w:t>
      </w:r>
      <w:r w:rsidR="0001573F" w:rsidRPr="00D9330B">
        <w:rPr>
          <w:rFonts w:ascii="Times New Roman" w:hAnsi="Times New Roman" w:cs="Times New Roman"/>
          <w:sz w:val="24"/>
          <w:szCs w:val="24"/>
          <w:lang w:val="en-GB"/>
        </w:rPr>
        <w:t xml:space="preserve">the anti-Vargas </w:t>
      </w:r>
      <w:proofErr w:type="spellStart"/>
      <w:r w:rsidRPr="00D9330B">
        <w:rPr>
          <w:rFonts w:ascii="Times New Roman" w:hAnsi="Times New Roman" w:cs="Times New Roman"/>
          <w:sz w:val="24"/>
          <w:szCs w:val="24"/>
          <w:lang w:val="en-GB"/>
        </w:rPr>
        <w:t>J</w:t>
      </w:r>
      <w:r w:rsidR="0001573F" w:rsidRPr="00D9330B">
        <w:rPr>
          <w:rFonts w:ascii="Times New Roman" w:hAnsi="Times New Roman" w:cs="Times New Roman"/>
          <w:sz w:val="24"/>
          <w:szCs w:val="24"/>
          <w:lang w:val="en-GB"/>
        </w:rPr>
        <w:t>ânio</w:t>
      </w:r>
      <w:proofErr w:type="spellEnd"/>
      <w:r w:rsidR="0001573F" w:rsidRPr="00D9330B">
        <w:rPr>
          <w:rFonts w:ascii="Times New Roman" w:hAnsi="Times New Roman" w:cs="Times New Roman"/>
          <w:sz w:val="24"/>
          <w:szCs w:val="24"/>
          <w:lang w:val="en-GB"/>
        </w:rPr>
        <w:t xml:space="preserve"> </w:t>
      </w:r>
      <w:proofErr w:type="spellStart"/>
      <w:r w:rsidR="0001573F" w:rsidRPr="00D9330B">
        <w:rPr>
          <w:rFonts w:ascii="Times New Roman" w:hAnsi="Times New Roman" w:cs="Times New Roman"/>
          <w:sz w:val="24"/>
          <w:szCs w:val="24"/>
          <w:lang w:val="en-GB"/>
        </w:rPr>
        <w:t>Quadros</w:t>
      </w:r>
      <w:proofErr w:type="spellEnd"/>
      <w:r w:rsidRPr="00D9330B">
        <w:rPr>
          <w:rFonts w:ascii="Times New Roman" w:hAnsi="Times New Roman" w:cs="Times New Roman"/>
          <w:sz w:val="24"/>
          <w:szCs w:val="24"/>
          <w:lang w:val="en-GB"/>
        </w:rPr>
        <w:t xml:space="preserve"> unexpectedly resigned that office, handin</w:t>
      </w:r>
      <w:r w:rsidR="00547018">
        <w:rPr>
          <w:rFonts w:ascii="Times New Roman" w:hAnsi="Times New Roman" w:cs="Times New Roman"/>
          <w:sz w:val="24"/>
          <w:szCs w:val="24"/>
          <w:lang w:val="en-GB"/>
        </w:rPr>
        <w:t>g it to his</w:t>
      </w:r>
      <w:r w:rsidRPr="00D9330B">
        <w:rPr>
          <w:rFonts w:ascii="Times New Roman" w:hAnsi="Times New Roman" w:cs="Times New Roman"/>
          <w:sz w:val="24"/>
          <w:szCs w:val="24"/>
          <w:lang w:val="en-GB"/>
        </w:rPr>
        <w:t xml:space="preserve"> vice president. </w:t>
      </w:r>
      <w:r w:rsidR="0036010F" w:rsidRPr="00D9330B">
        <w:rPr>
          <w:rFonts w:ascii="Times New Roman" w:hAnsi="Times New Roman" w:cs="Times New Roman"/>
          <w:sz w:val="24"/>
          <w:szCs w:val="24"/>
          <w:lang w:val="en-GB"/>
        </w:rPr>
        <w:t>In sum</w:t>
      </w:r>
      <w:r w:rsidRPr="00D9330B">
        <w:rPr>
          <w:rFonts w:ascii="Times New Roman" w:hAnsi="Times New Roman" w:cs="Times New Roman"/>
          <w:sz w:val="24"/>
          <w:szCs w:val="24"/>
          <w:lang w:val="en-GB"/>
        </w:rPr>
        <w:t xml:space="preserve">, despite </w:t>
      </w:r>
      <w:r w:rsidR="007E63E6" w:rsidRPr="00D9330B">
        <w:rPr>
          <w:rFonts w:ascii="Times New Roman" w:hAnsi="Times New Roman" w:cs="Times New Roman"/>
          <w:sz w:val="24"/>
          <w:szCs w:val="24"/>
          <w:lang w:val="en-GB"/>
        </w:rPr>
        <w:t>a brief scare</w:t>
      </w:r>
      <w:r w:rsidRPr="00D9330B">
        <w:rPr>
          <w:rFonts w:ascii="Times New Roman" w:hAnsi="Times New Roman" w:cs="Times New Roman"/>
          <w:sz w:val="24"/>
          <w:szCs w:val="24"/>
          <w:lang w:val="en-GB"/>
        </w:rPr>
        <w:t>, Brazil’s elite never saw its control of the state challenged by popular mobilisation</w:t>
      </w:r>
      <w:r w:rsidR="00BF7F42" w:rsidRPr="00D9330B">
        <w:rPr>
          <w:rFonts w:ascii="Times New Roman" w:hAnsi="Times New Roman" w:cs="Times New Roman"/>
          <w:sz w:val="24"/>
          <w:szCs w:val="24"/>
          <w:lang w:val="en-GB"/>
        </w:rPr>
        <w:t xml:space="preserve"> and</w:t>
      </w:r>
      <w:r w:rsidR="00205292" w:rsidRPr="00D9330B">
        <w:rPr>
          <w:rFonts w:ascii="Times New Roman" w:hAnsi="Times New Roman" w:cs="Times New Roman"/>
          <w:sz w:val="24"/>
          <w:szCs w:val="24"/>
          <w:lang w:val="en-GB"/>
        </w:rPr>
        <w:t xml:space="preserve"> therefore did not feel compelled</w:t>
      </w:r>
      <w:r w:rsidR="007E63E6" w:rsidRPr="00D9330B">
        <w:rPr>
          <w:rFonts w:ascii="Times New Roman" w:hAnsi="Times New Roman" w:cs="Times New Roman"/>
          <w:sz w:val="24"/>
          <w:szCs w:val="24"/>
          <w:lang w:val="en-GB"/>
        </w:rPr>
        <w:t xml:space="preserve"> to use the military regime</w:t>
      </w:r>
      <w:r w:rsidR="008E3A60" w:rsidRPr="00D9330B">
        <w:rPr>
          <w:rFonts w:ascii="Times New Roman" w:hAnsi="Times New Roman" w:cs="Times New Roman"/>
          <w:sz w:val="24"/>
          <w:szCs w:val="24"/>
          <w:lang w:val="en-GB"/>
        </w:rPr>
        <w:t xml:space="preserve"> </w:t>
      </w:r>
      <w:r w:rsidR="00B11361">
        <w:rPr>
          <w:rFonts w:ascii="Times New Roman" w:hAnsi="Times New Roman" w:cs="Times New Roman"/>
          <w:sz w:val="24"/>
          <w:szCs w:val="24"/>
          <w:lang w:val="en-GB"/>
        </w:rPr>
        <w:t>to reverse its effects</w:t>
      </w:r>
      <w:r w:rsidR="00205292" w:rsidRPr="00D9330B">
        <w:rPr>
          <w:rFonts w:ascii="Times New Roman" w:hAnsi="Times New Roman" w:cs="Times New Roman"/>
          <w:sz w:val="24"/>
          <w:szCs w:val="24"/>
          <w:lang w:val="en-GB"/>
        </w:rPr>
        <w:t>.</w:t>
      </w:r>
    </w:p>
    <w:p w:rsidR="007F6042" w:rsidRDefault="00D673CD" w:rsidP="002D6470">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Rather,</w:t>
      </w:r>
      <w:r w:rsidR="00254FB0" w:rsidRPr="00D9330B">
        <w:rPr>
          <w:rFonts w:ascii="Times New Roman" w:hAnsi="Times New Roman" w:cs="Times New Roman"/>
          <w:sz w:val="24"/>
          <w:szCs w:val="24"/>
          <w:lang w:val="en-GB"/>
        </w:rPr>
        <w:t xml:space="preserve"> public sector</w:t>
      </w:r>
      <w:r>
        <w:rPr>
          <w:rFonts w:ascii="Times New Roman" w:hAnsi="Times New Roman" w:cs="Times New Roman"/>
          <w:sz w:val="24"/>
          <w:szCs w:val="24"/>
          <w:lang w:val="en-GB"/>
        </w:rPr>
        <w:t xml:space="preserve"> growth</w:t>
      </w:r>
      <w:r w:rsidR="00254FB0" w:rsidRPr="00D9330B">
        <w:rPr>
          <w:rFonts w:ascii="Times New Roman" w:hAnsi="Times New Roman" w:cs="Times New Roman"/>
          <w:sz w:val="24"/>
          <w:szCs w:val="24"/>
          <w:lang w:val="en-GB"/>
        </w:rPr>
        <w:t xml:space="preserve"> bot</w:t>
      </w:r>
      <w:r w:rsidR="007E63E6" w:rsidRPr="00D9330B">
        <w:rPr>
          <w:rFonts w:ascii="Times New Roman" w:hAnsi="Times New Roman" w:cs="Times New Roman"/>
          <w:sz w:val="24"/>
          <w:szCs w:val="24"/>
          <w:lang w:val="en-GB"/>
        </w:rPr>
        <w:t>h before and during the</w:t>
      </w:r>
      <w:r w:rsidR="00254FB0" w:rsidRPr="00D9330B">
        <w:rPr>
          <w:rFonts w:ascii="Times New Roman" w:hAnsi="Times New Roman" w:cs="Times New Roman"/>
          <w:sz w:val="24"/>
          <w:szCs w:val="24"/>
          <w:lang w:val="en-GB"/>
        </w:rPr>
        <w:t xml:space="preserve"> regime </w:t>
      </w:r>
      <w:r w:rsidR="004406B5" w:rsidRPr="00D9330B">
        <w:rPr>
          <w:rFonts w:ascii="Times New Roman" w:hAnsi="Times New Roman" w:cs="Times New Roman"/>
          <w:sz w:val="24"/>
          <w:szCs w:val="24"/>
          <w:lang w:val="en-GB"/>
        </w:rPr>
        <w:t>was</w:t>
      </w:r>
      <w:r w:rsidR="003A1EBB" w:rsidRPr="00D9330B">
        <w:rPr>
          <w:rFonts w:ascii="Times New Roman" w:hAnsi="Times New Roman" w:cs="Times New Roman"/>
          <w:sz w:val="24"/>
          <w:szCs w:val="24"/>
          <w:lang w:val="en-GB"/>
        </w:rPr>
        <w:t xml:space="preserve"> propelled</w:t>
      </w:r>
      <w:r w:rsidR="00EB07EB" w:rsidRPr="00D9330B">
        <w:rPr>
          <w:rFonts w:ascii="Times New Roman" w:hAnsi="Times New Roman" w:cs="Times New Roman"/>
          <w:sz w:val="24"/>
          <w:szCs w:val="24"/>
          <w:lang w:val="en-GB"/>
        </w:rPr>
        <w:t xml:space="preserve"> mainly</w:t>
      </w:r>
      <w:r w:rsidR="003A1EBB" w:rsidRPr="00D9330B">
        <w:rPr>
          <w:rFonts w:ascii="Times New Roman" w:hAnsi="Times New Roman" w:cs="Times New Roman"/>
          <w:sz w:val="24"/>
          <w:szCs w:val="24"/>
          <w:lang w:val="en-GB"/>
        </w:rPr>
        <w:t xml:space="preserve"> by a broad consensus, </w:t>
      </w:r>
      <w:r w:rsidR="00254FB0" w:rsidRPr="00D9330B">
        <w:rPr>
          <w:rFonts w:ascii="Times New Roman" w:hAnsi="Times New Roman" w:cs="Times New Roman"/>
          <w:sz w:val="24"/>
          <w:szCs w:val="24"/>
          <w:lang w:val="en-GB"/>
        </w:rPr>
        <w:t>spanning public and private sector elites</w:t>
      </w:r>
      <w:r w:rsidR="003A1EBB" w:rsidRPr="00D9330B">
        <w:rPr>
          <w:rFonts w:ascii="Times New Roman" w:hAnsi="Times New Roman" w:cs="Times New Roman"/>
          <w:sz w:val="24"/>
          <w:szCs w:val="24"/>
          <w:lang w:val="en-GB"/>
        </w:rPr>
        <w:t>, on the benefits of an economically activist state</w:t>
      </w:r>
      <w:r w:rsidR="00254FB0" w:rsidRPr="00D9330B">
        <w:rPr>
          <w:rFonts w:ascii="Times New Roman" w:hAnsi="Times New Roman" w:cs="Times New Roman"/>
          <w:sz w:val="24"/>
          <w:szCs w:val="24"/>
          <w:lang w:val="en-GB"/>
        </w:rPr>
        <w:t>.</w:t>
      </w:r>
      <w:r w:rsidR="00877A2C">
        <w:rPr>
          <w:rFonts w:ascii="Times New Roman" w:hAnsi="Times New Roman" w:cs="Times New Roman"/>
          <w:sz w:val="24"/>
          <w:szCs w:val="24"/>
          <w:lang w:val="en-GB"/>
        </w:rPr>
        <w:t xml:space="preserve"> </w:t>
      </w:r>
      <w:r w:rsidR="002D6470">
        <w:rPr>
          <w:rFonts w:ascii="Times New Roman" w:hAnsi="Times New Roman" w:cs="Times New Roman"/>
          <w:sz w:val="24"/>
          <w:szCs w:val="24"/>
          <w:lang w:val="en-GB"/>
        </w:rPr>
        <w:t>Although state-expanding initiatives gener</w:t>
      </w:r>
      <w:r w:rsidR="00444CC5">
        <w:rPr>
          <w:rFonts w:ascii="Times New Roman" w:hAnsi="Times New Roman" w:cs="Times New Roman"/>
          <w:sz w:val="24"/>
          <w:szCs w:val="24"/>
          <w:lang w:val="en-GB"/>
        </w:rPr>
        <w:t>ally originated</w:t>
      </w:r>
      <w:r w:rsidR="007473BF">
        <w:rPr>
          <w:rFonts w:ascii="Times New Roman" w:hAnsi="Times New Roman" w:cs="Times New Roman"/>
          <w:sz w:val="24"/>
          <w:szCs w:val="24"/>
          <w:lang w:val="en-GB"/>
        </w:rPr>
        <w:t xml:space="preserve"> from the state</w:t>
      </w:r>
      <w:r w:rsidR="002D6470">
        <w:rPr>
          <w:rFonts w:ascii="Times New Roman" w:hAnsi="Times New Roman" w:cs="Times New Roman"/>
          <w:sz w:val="24"/>
          <w:szCs w:val="24"/>
          <w:lang w:val="en-GB"/>
        </w:rPr>
        <w:t>, they were widely accepted and sometimes even appla</w:t>
      </w:r>
      <w:r w:rsidR="00E5382E">
        <w:rPr>
          <w:rFonts w:ascii="Times New Roman" w:hAnsi="Times New Roman" w:cs="Times New Roman"/>
          <w:sz w:val="24"/>
          <w:szCs w:val="24"/>
          <w:lang w:val="en-GB"/>
        </w:rPr>
        <w:t>uded by business. I</w:t>
      </w:r>
      <w:r w:rsidR="007F6042">
        <w:rPr>
          <w:rFonts w:ascii="Times New Roman" w:hAnsi="Times New Roman" w:cs="Times New Roman"/>
          <w:sz w:val="24"/>
          <w:szCs w:val="24"/>
          <w:lang w:val="en-GB"/>
        </w:rPr>
        <w:t>n their study of Bra</w:t>
      </w:r>
      <w:r w:rsidR="00DF1518">
        <w:rPr>
          <w:rFonts w:ascii="Times New Roman" w:hAnsi="Times New Roman" w:cs="Times New Roman"/>
          <w:sz w:val="24"/>
          <w:szCs w:val="24"/>
          <w:lang w:val="en-GB"/>
        </w:rPr>
        <w:t>z</w:t>
      </w:r>
      <w:r w:rsidR="007F6042">
        <w:rPr>
          <w:rFonts w:ascii="Times New Roman" w:hAnsi="Times New Roman" w:cs="Times New Roman"/>
          <w:sz w:val="24"/>
          <w:szCs w:val="24"/>
          <w:lang w:val="en-GB"/>
        </w:rPr>
        <w:t xml:space="preserve">ilian industrialists between the 1930s and the 1970s, </w:t>
      </w:r>
      <w:proofErr w:type="spellStart"/>
      <w:r w:rsidR="007F6042">
        <w:rPr>
          <w:rFonts w:ascii="Times New Roman" w:hAnsi="Times New Roman" w:cs="Times New Roman"/>
          <w:sz w:val="24"/>
          <w:szCs w:val="24"/>
          <w:lang w:val="en-GB"/>
        </w:rPr>
        <w:t>Diniz</w:t>
      </w:r>
      <w:proofErr w:type="spellEnd"/>
      <w:r w:rsidR="007F6042">
        <w:rPr>
          <w:rFonts w:ascii="Times New Roman" w:hAnsi="Times New Roman" w:cs="Times New Roman"/>
          <w:sz w:val="24"/>
          <w:szCs w:val="24"/>
          <w:lang w:val="en-GB"/>
        </w:rPr>
        <w:t xml:space="preserve"> and </w:t>
      </w:r>
      <w:proofErr w:type="spellStart"/>
      <w:r w:rsidR="007F6042">
        <w:rPr>
          <w:rFonts w:ascii="Times New Roman" w:hAnsi="Times New Roman" w:cs="Times New Roman"/>
          <w:sz w:val="24"/>
          <w:szCs w:val="24"/>
          <w:lang w:val="en-GB"/>
        </w:rPr>
        <w:t>Boschi</w:t>
      </w:r>
      <w:proofErr w:type="spellEnd"/>
      <w:r w:rsidR="007F6042">
        <w:rPr>
          <w:rFonts w:ascii="Times New Roman" w:hAnsi="Times New Roman" w:cs="Times New Roman"/>
          <w:sz w:val="24"/>
          <w:szCs w:val="24"/>
          <w:lang w:val="en-GB"/>
        </w:rPr>
        <w:t xml:space="preserve"> conclude that </w:t>
      </w:r>
      <w:r w:rsidR="002D6470">
        <w:rPr>
          <w:rFonts w:ascii="Times New Roman" w:hAnsi="Times New Roman" w:cs="Times New Roman"/>
          <w:sz w:val="24"/>
          <w:szCs w:val="24"/>
          <w:lang w:val="en-GB"/>
        </w:rPr>
        <w:t>‘</w:t>
      </w:r>
      <w:r w:rsidR="007F6042">
        <w:rPr>
          <w:rFonts w:ascii="Times New Roman" w:hAnsi="Times New Roman" w:cs="Times New Roman"/>
          <w:sz w:val="24"/>
          <w:szCs w:val="24"/>
          <w:lang w:val="en-GB"/>
        </w:rPr>
        <w:t>our research did not reveal</w:t>
      </w:r>
      <w:r w:rsidR="00DF1518">
        <w:rPr>
          <w:rFonts w:ascii="Times New Roman" w:hAnsi="Times New Roman" w:cs="Times New Roman"/>
          <w:sz w:val="24"/>
          <w:szCs w:val="24"/>
          <w:lang w:val="en-GB"/>
        </w:rPr>
        <w:t xml:space="preserve"> an </w:t>
      </w:r>
      <w:r w:rsidR="007F6042">
        <w:rPr>
          <w:rFonts w:ascii="Times New Roman" w:hAnsi="Times New Roman" w:cs="Times New Roman"/>
          <w:sz w:val="24"/>
          <w:szCs w:val="24"/>
          <w:lang w:val="en-GB"/>
        </w:rPr>
        <w:t xml:space="preserve">industrial elite opposed to state intervention in the economy. In some cases </w:t>
      </w:r>
      <w:r w:rsidR="002178EB">
        <w:rPr>
          <w:rFonts w:ascii="Times New Roman" w:hAnsi="Times New Roman" w:cs="Times New Roman"/>
          <w:sz w:val="24"/>
          <w:szCs w:val="24"/>
          <w:lang w:val="en-GB"/>
        </w:rPr>
        <w:t>[</w:t>
      </w:r>
      <w:r w:rsidR="007F6042">
        <w:rPr>
          <w:rFonts w:ascii="Times New Roman" w:hAnsi="Times New Roman" w:cs="Times New Roman"/>
          <w:sz w:val="24"/>
          <w:szCs w:val="24"/>
          <w:lang w:val="en-GB"/>
        </w:rPr>
        <w:t>the elite</w:t>
      </w:r>
      <w:r w:rsidR="002178EB">
        <w:rPr>
          <w:rFonts w:ascii="Times New Roman" w:hAnsi="Times New Roman" w:cs="Times New Roman"/>
          <w:sz w:val="24"/>
          <w:szCs w:val="24"/>
          <w:lang w:val="en-GB"/>
        </w:rPr>
        <w:t>]</w:t>
      </w:r>
      <w:r w:rsidR="007F6042">
        <w:rPr>
          <w:rFonts w:ascii="Times New Roman" w:hAnsi="Times New Roman" w:cs="Times New Roman"/>
          <w:sz w:val="24"/>
          <w:szCs w:val="24"/>
          <w:lang w:val="en-GB"/>
        </w:rPr>
        <w:t xml:space="preserve"> even justified that intervention by the nec</w:t>
      </w:r>
      <w:r w:rsidR="002178EB">
        <w:rPr>
          <w:rFonts w:ascii="Times New Roman" w:hAnsi="Times New Roman" w:cs="Times New Roman"/>
          <w:sz w:val="24"/>
          <w:szCs w:val="24"/>
          <w:lang w:val="en-GB"/>
        </w:rPr>
        <w:t xml:space="preserve">essity of the state filling </w:t>
      </w:r>
      <w:r w:rsidR="006F293E">
        <w:rPr>
          <w:rFonts w:ascii="Times New Roman" w:hAnsi="Times New Roman" w:cs="Times New Roman"/>
          <w:sz w:val="24"/>
          <w:szCs w:val="24"/>
          <w:lang w:val="en-GB"/>
        </w:rPr>
        <w:t>gaps</w:t>
      </w:r>
      <w:r w:rsidR="002178EB">
        <w:rPr>
          <w:rFonts w:ascii="Times New Roman" w:hAnsi="Times New Roman" w:cs="Times New Roman"/>
          <w:sz w:val="24"/>
          <w:szCs w:val="24"/>
          <w:lang w:val="en-GB"/>
        </w:rPr>
        <w:t xml:space="preserve"> the </w:t>
      </w:r>
      <w:r w:rsidR="008921BB">
        <w:rPr>
          <w:rFonts w:ascii="Times New Roman" w:hAnsi="Times New Roman" w:cs="Times New Roman"/>
          <w:sz w:val="24"/>
          <w:szCs w:val="24"/>
          <w:lang w:val="en-GB"/>
        </w:rPr>
        <w:t>private sector could not</w:t>
      </w:r>
      <w:r w:rsidR="002D6470">
        <w:rPr>
          <w:rFonts w:ascii="Times New Roman" w:hAnsi="Times New Roman" w:cs="Times New Roman"/>
          <w:sz w:val="24"/>
          <w:szCs w:val="24"/>
          <w:lang w:val="en-GB"/>
        </w:rPr>
        <w:t>’</w:t>
      </w:r>
      <w:r w:rsidR="008921BB">
        <w:rPr>
          <w:rFonts w:ascii="Times New Roman" w:hAnsi="Times New Roman" w:cs="Times New Roman"/>
          <w:sz w:val="24"/>
          <w:szCs w:val="24"/>
          <w:lang w:val="en-GB"/>
        </w:rPr>
        <w:t>.</w:t>
      </w:r>
      <w:r w:rsidR="00B50328">
        <w:rPr>
          <w:rStyle w:val="FootnoteReference"/>
          <w:rFonts w:ascii="Times New Roman" w:hAnsi="Times New Roman" w:cs="Times New Roman"/>
          <w:sz w:val="24"/>
          <w:szCs w:val="24"/>
          <w:lang w:val="en-GB"/>
        </w:rPr>
        <w:footnoteReference w:id="81"/>
      </w:r>
      <w:r w:rsidR="002178EB">
        <w:rPr>
          <w:rFonts w:ascii="Times New Roman" w:hAnsi="Times New Roman" w:cs="Times New Roman"/>
          <w:sz w:val="24"/>
          <w:szCs w:val="24"/>
          <w:lang w:val="en-GB"/>
        </w:rPr>
        <w:t xml:space="preserve"> S</w:t>
      </w:r>
      <w:r w:rsidR="006F293E">
        <w:rPr>
          <w:rFonts w:ascii="Times New Roman" w:hAnsi="Times New Roman" w:cs="Times New Roman"/>
          <w:sz w:val="24"/>
          <w:szCs w:val="24"/>
          <w:lang w:val="en-GB"/>
        </w:rPr>
        <w:t>imilarly,</w:t>
      </w:r>
      <w:r w:rsidR="002D6470">
        <w:rPr>
          <w:rFonts w:ascii="Times New Roman" w:hAnsi="Times New Roman" w:cs="Times New Roman"/>
          <w:sz w:val="24"/>
          <w:szCs w:val="24"/>
          <w:lang w:val="en-GB"/>
        </w:rPr>
        <w:t xml:space="preserve"> in his work on</w:t>
      </w:r>
      <w:r w:rsidR="006F293E">
        <w:rPr>
          <w:rFonts w:ascii="Times New Roman" w:hAnsi="Times New Roman" w:cs="Times New Roman"/>
          <w:sz w:val="24"/>
          <w:szCs w:val="24"/>
          <w:lang w:val="en-GB"/>
        </w:rPr>
        <w:t xml:space="preserve"> Brazilian interest groups</w:t>
      </w:r>
      <w:r w:rsidR="005D4704">
        <w:rPr>
          <w:rFonts w:ascii="Times New Roman" w:hAnsi="Times New Roman" w:cs="Times New Roman"/>
          <w:sz w:val="24"/>
          <w:szCs w:val="24"/>
          <w:lang w:val="en-GB"/>
        </w:rPr>
        <w:t>,</w:t>
      </w:r>
      <w:r w:rsidR="002178EB">
        <w:rPr>
          <w:rFonts w:ascii="Times New Roman" w:hAnsi="Times New Roman" w:cs="Times New Roman"/>
          <w:sz w:val="24"/>
          <w:szCs w:val="24"/>
          <w:lang w:val="en-GB"/>
        </w:rPr>
        <w:t xml:space="preserve"> </w:t>
      </w:r>
      <w:proofErr w:type="spellStart"/>
      <w:r w:rsidR="002D6470">
        <w:rPr>
          <w:rFonts w:ascii="Times New Roman" w:hAnsi="Times New Roman" w:cs="Times New Roman"/>
          <w:sz w:val="24"/>
          <w:szCs w:val="24"/>
          <w:lang w:val="en-GB"/>
        </w:rPr>
        <w:t>Schmitter</w:t>
      </w:r>
      <w:proofErr w:type="spellEnd"/>
      <w:r w:rsidR="002D6470">
        <w:rPr>
          <w:rFonts w:ascii="Times New Roman" w:hAnsi="Times New Roman" w:cs="Times New Roman"/>
          <w:sz w:val="24"/>
          <w:szCs w:val="24"/>
          <w:lang w:val="en-GB"/>
        </w:rPr>
        <w:t xml:space="preserve"> emphasizes</w:t>
      </w:r>
      <w:r w:rsidR="00D3781C">
        <w:rPr>
          <w:rFonts w:ascii="Times New Roman" w:hAnsi="Times New Roman" w:cs="Times New Roman"/>
          <w:sz w:val="24"/>
          <w:szCs w:val="24"/>
          <w:lang w:val="en-GB"/>
        </w:rPr>
        <w:t xml:space="preserve"> the</w:t>
      </w:r>
      <w:r w:rsidR="003E2EFE">
        <w:rPr>
          <w:rFonts w:ascii="Times New Roman" w:hAnsi="Times New Roman" w:cs="Times New Roman"/>
          <w:sz w:val="24"/>
          <w:szCs w:val="24"/>
          <w:lang w:val="en-GB"/>
        </w:rPr>
        <w:t xml:space="preserve"> lack of</w:t>
      </w:r>
      <w:r w:rsidR="002178EB">
        <w:rPr>
          <w:rFonts w:ascii="Times New Roman" w:hAnsi="Times New Roman" w:cs="Times New Roman"/>
          <w:sz w:val="24"/>
          <w:szCs w:val="24"/>
          <w:lang w:val="en-GB"/>
        </w:rPr>
        <w:t xml:space="preserve"> conflict</w:t>
      </w:r>
      <w:r>
        <w:rPr>
          <w:rFonts w:ascii="Times New Roman" w:hAnsi="Times New Roman" w:cs="Times New Roman"/>
          <w:sz w:val="24"/>
          <w:szCs w:val="24"/>
          <w:lang w:val="en-GB"/>
        </w:rPr>
        <w:t xml:space="preserve"> occasioned by the sustained</w:t>
      </w:r>
      <w:r w:rsidR="005D4704">
        <w:rPr>
          <w:rFonts w:ascii="Times New Roman" w:hAnsi="Times New Roman" w:cs="Times New Roman"/>
          <w:sz w:val="24"/>
          <w:szCs w:val="24"/>
          <w:lang w:val="en-GB"/>
        </w:rPr>
        <w:t xml:space="preserve"> expansion of the state’s economic role. Elites of all major sectors</w:t>
      </w:r>
      <w:r w:rsidR="00D8119B">
        <w:rPr>
          <w:rFonts w:ascii="Times New Roman" w:hAnsi="Times New Roman" w:cs="Times New Roman"/>
          <w:sz w:val="24"/>
          <w:szCs w:val="24"/>
          <w:lang w:val="en-GB"/>
        </w:rPr>
        <w:t xml:space="preserve"> found</w:t>
      </w:r>
      <w:r w:rsidR="005D4704">
        <w:rPr>
          <w:rFonts w:ascii="Times New Roman" w:hAnsi="Times New Roman" w:cs="Times New Roman"/>
          <w:sz w:val="24"/>
          <w:szCs w:val="24"/>
          <w:lang w:val="en-GB"/>
        </w:rPr>
        <w:t xml:space="preserve"> they</w:t>
      </w:r>
      <w:r w:rsidR="006F293E">
        <w:rPr>
          <w:rFonts w:ascii="Times New Roman" w:hAnsi="Times New Roman" w:cs="Times New Roman"/>
          <w:sz w:val="24"/>
          <w:szCs w:val="24"/>
          <w:lang w:val="en-GB"/>
        </w:rPr>
        <w:t xml:space="preserve"> could profit</w:t>
      </w:r>
      <w:r w:rsidR="005D4704">
        <w:rPr>
          <w:rFonts w:ascii="Times New Roman" w:hAnsi="Times New Roman" w:cs="Times New Roman"/>
          <w:sz w:val="24"/>
          <w:szCs w:val="24"/>
          <w:lang w:val="en-GB"/>
        </w:rPr>
        <w:t xml:space="preserve"> from</w:t>
      </w:r>
      <w:r w:rsidR="00DF1518">
        <w:rPr>
          <w:rFonts w:ascii="Times New Roman" w:hAnsi="Times New Roman" w:cs="Times New Roman"/>
          <w:sz w:val="24"/>
          <w:szCs w:val="24"/>
          <w:lang w:val="en-GB"/>
        </w:rPr>
        <w:t xml:space="preserve"> the</w:t>
      </w:r>
      <w:r w:rsidR="00444CC5">
        <w:rPr>
          <w:rFonts w:ascii="Times New Roman" w:hAnsi="Times New Roman" w:cs="Times New Roman"/>
          <w:sz w:val="24"/>
          <w:szCs w:val="24"/>
          <w:lang w:val="en-GB"/>
        </w:rPr>
        <w:t xml:space="preserve"> interventionist policies</w:t>
      </w:r>
      <w:r w:rsidR="00B50328">
        <w:rPr>
          <w:rFonts w:ascii="Times New Roman" w:hAnsi="Times New Roman" w:cs="Times New Roman"/>
          <w:sz w:val="24"/>
          <w:szCs w:val="24"/>
          <w:lang w:val="en-GB"/>
        </w:rPr>
        <w:t xml:space="preserve"> that emerged</w:t>
      </w:r>
      <w:r w:rsidR="00D8119B">
        <w:rPr>
          <w:rFonts w:ascii="Times New Roman" w:hAnsi="Times New Roman" w:cs="Times New Roman"/>
          <w:sz w:val="24"/>
          <w:szCs w:val="24"/>
          <w:lang w:val="en-GB"/>
        </w:rPr>
        <w:t xml:space="preserve"> under Vargas</w:t>
      </w:r>
      <w:r w:rsidR="00B50328">
        <w:rPr>
          <w:rFonts w:ascii="Times New Roman" w:hAnsi="Times New Roman" w:cs="Times New Roman"/>
          <w:sz w:val="24"/>
          <w:szCs w:val="24"/>
          <w:lang w:val="en-GB"/>
        </w:rPr>
        <w:t xml:space="preserve"> an</w:t>
      </w:r>
      <w:r w:rsidR="002D5ABB">
        <w:rPr>
          <w:rFonts w:ascii="Times New Roman" w:hAnsi="Times New Roman" w:cs="Times New Roman"/>
          <w:sz w:val="24"/>
          <w:szCs w:val="24"/>
          <w:lang w:val="en-GB"/>
        </w:rPr>
        <w:t>d</w:t>
      </w:r>
      <w:r w:rsidR="00BC5504">
        <w:rPr>
          <w:rFonts w:ascii="Times New Roman" w:hAnsi="Times New Roman" w:cs="Times New Roman"/>
          <w:sz w:val="24"/>
          <w:szCs w:val="24"/>
          <w:lang w:val="en-GB"/>
        </w:rPr>
        <w:t xml:space="preserve"> </w:t>
      </w:r>
      <w:r w:rsidR="00BC5504">
        <w:rPr>
          <w:rFonts w:ascii="Times New Roman" w:hAnsi="Times New Roman" w:cs="Times New Roman"/>
          <w:sz w:val="24"/>
          <w:szCs w:val="24"/>
          <w:lang w:val="en-GB"/>
        </w:rPr>
        <w:lastRenderedPageBreak/>
        <w:t xml:space="preserve">did not </w:t>
      </w:r>
      <w:r w:rsidR="007A5A78">
        <w:rPr>
          <w:rFonts w:ascii="Times New Roman" w:hAnsi="Times New Roman" w:cs="Times New Roman"/>
          <w:sz w:val="24"/>
          <w:szCs w:val="24"/>
          <w:lang w:val="en-GB"/>
        </w:rPr>
        <w:t xml:space="preserve">seriously </w:t>
      </w:r>
      <w:r w:rsidR="00BC5504">
        <w:rPr>
          <w:rFonts w:ascii="Times New Roman" w:hAnsi="Times New Roman" w:cs="Times New Roman"/>
          <w:sz w:val="24"/>
          <w:szCs w:val="24"/>
          <w:lang w:val="en-GB"/>
        </w:rPr>
        <w:t>resist</w:t>
      </w:r>
      <w:r w:rsidR="00444CC5">
        <w:rPr>
          <w:rFonts w:ascii="Times New Roman" w:hAnsi="Times New Roman" w:cs="Times New Roman"/>
          <w:sz w:val="24"/>
          <w:szCs w:val="24"/>
          <w:lang w:val="en-GB"/>
        </w:rPr>
        <w:t xml:space="preserve"> them</w:t>
      </w:r>
      <w:r w:rsidR="00D8119B">
        <w:rPr>
          <w:rFonts w:ascii="Times New Roman" w:hAnsi="Times New Roman" w:cs="Times New Roman"/>
          <w:sz w:val="24"/>
          <w:szCs w:val="24"/>
          <w:lang w:val="en-GB"/>
        </w:rPr>
        <w:t>.</w:t>
      </w:r>
      <w:r w:rsidR="00512D12">
        <w:rPr>
          <w:rStyle w:val="FootnoteReference"/>
          <w:rFonts w:ascii="Times New Roman" w:hAnsi="Times New Roman" w:cs="Times New Roman"/>
          <w:sz w:val="24"/>
          <w:szCs w:val="24"/>
          <w:lang w:val="en-GB"/>
        </w:rPr>
        <w:footnoteReference w:id="82"/>
      </w:r>
      <w:r w:rsidR="001B114F">
        <w:rPr>
          <w:rFonts w:ascii="Times New Roman" w:hAnsi="Times New Roman" w:cs="Times New Roman"/>
          <w:sz w:val="24"/>
          <w:szCs w:val="24"/>
          <w:lang w:val="en-GB"/>
        </w:rPr>
        <w:t xml:space="preserve"> O</w:t>
      </w:r>
      <w:r w:rsidR="00B50328">
        <w:rPr>
          <w:rFonts w:ascii="Times New Roman" w:hAnsi="Times New Roman" w:cs="Times New Roman"/>
          <w:sz w:val="24"/>
          <w:szCs w:val="24"/>
          <w:lang w:val="en-GB"/>
        </w:rPr>
        <w:t>ther works</w:t>
      </w:r>
      <w:r w:rsidR="00060E51">
        <w:rPr>
          <w:rFonts w:ascii="Times New Roman" w:hAnsi="Times New Roman" w:cs="Times New Roman"/>
          <w:sz w:val="24"/>
          <w:szCs w:val="24"/>
          <w:lang w:val="en-GB"/>
        </w:rPr>
        <w:t xml:space="preserve"> that </w:t>
      </w:r>
      <w:r w:rsidR="00F55C61">
        <w:rPr>
          <w:rFonts w:ascii="Times New Roman" w:hAnsi="Times New Roman" w:cs="Times New Roman"/>
          <w:sz w:val="24"/>
          <w:szCs w:val="24"/>
          <w:lang w:val="en-GB"/>
        </w:rPr>
        <w:t>analys</w:t>
      </w:r>
      <w:r w:rsidR="00060E51">
        <w:rPr>
          <w:rFonts w:ascii="Times New Roman" w:hAnsi="Times New Roman" w:cs="Times New Roman"/>
          <w:sz w:val="24"/>
          <w:szCs w:val="24"/>
          <w:lang w:val="en-GB"/>
        </w:rPr>
        <w:t>e</w:t>
      </w:r>
      <w:r w:rsidR="001B114F">
        <w:rPr>
          <w:rFonts w:ascii="Times New Roman" w:hAnsi="Times New Roman" w:cs="Times New Roman"/>
          <w:sz w:val="24"/>
          <w:szCs w:val="24"/>
          <w:lang w:val="en-GB"/>
        </w:rPr>
        <w:t xml:space="preserve"> the</w:t>
      </w:r>
      <w:r w:rsidR="00B50328">
        <w:rPr>
          <w:rFonts w:ascii="Times New Roman" w:hAnsi="Times New Roman" w:cs="Times New Roman"/>
          <w:sz w:val="24"/>
          <w:szCs w:val="24"/>
          <w:lang w:val="en-GB"/>
        </w:rPr>
        <w:t xml:space="preserve"> </w:t>
      </w:r>
      <w:r w:rsidR="001B114F">
        <w:rPr>
          <w:rFonts w:ascii="Times New Roman" w:hAnsi="Times New Roman" w:cs="Times New Roman"/>
          <w:sz w:val="24"/>
          <w:szCs w:val="24"/>
          <w:lang w:val="en-GB"/>
        </w:rPr>
        <w:t>business-state relationship in Brazil during</w:t>
      </w:r>
      <w:r w:rsidR="002D5ABB">
        <w:rPr>
          <w:rFonts w:ascii="Times New Roman" w:hAnsi="Times New Roman" w:cs="Times New Roman"/>
          <w:sz w:val="24"/>
          <w:szCs w:val="24"/>
          <w:lang w:val="en-GB"/>
        </w:rPr>
        <w:t xml:space="preserve"> this period</w:t>
      </w:r>
      <w:r w:rsidR="001B114F">
        <w:rPr>
          <w:rFonts w:ascii="Times New Roman" w:hAnsi="Times New Roman" w:cs="Times New Roman"/>
          <w:sz w:val="24"/>
          <w:szCs w:val="24"/>
          <w:lang w:val="en-GB"/>
        </w:rPr>
        <w:t xml:space="preserve"> also characterize it</w:t>
      </w:r>
      <w:r w:rsidR="00B50328">
        <w:rPr>
          <w:rFonts w:ascii="Times New Roman" w:hAnsi="Times New Roman" w:cs="Times New Roman"/>
          <w:sz w:val="24"/>
          <w:szCs w:val="24"/>
          <w:lang w:val="en-GB"/>
        </w:rPr>
        <w:t xml:space="preserve"> as </w:t>
      </w:r>
      <w:r>
        <w:rPr>
          <w:rFonts w:ascii="Times New Roman" w:hAnsi="Times New Roman" w:cs="Times New Roman"/>
          <w:sz w:val="24"/>
          <w:szCs w:val="24"/>
          <w:lang w:val="en-GB"/>
        </w:rPr>
        <w:t>basically</w:t>
      </w:r>
      <w:r w:rsidR="001B114F">
        <w:rPr>
          <w:rFonts w:ascii="Times New Roman" w:hAnsi="Times New Roman" w:cs="Times New Roman"/>
          <w:sz w:val="24"/>
          <w:szCs w:val="24"/>
          <w:lang w:val="en-GB"/>
        </w:rPr>
        <w:t xml:space="preserve"> </w:t>
      </w:r>
      <w:r w:rsidR="00B50328">
        <w:rPr>
          <w:rFonts w:ascii="Times New Roman" w:hAnsi="Times New Roman" w:cs="Times New Roman"/>
          <w:sz w:val="24"/>
          <w:szCs w:val="24"/>
          <w:lang w:val="en-GB"/>
        </w:rPr>
        <w:t>collaborative and mutually supportive.</w:t>
      </w:r>
      <w:r w:rsidR="00B50328">
        <w:rPr>
          <w:rStyle w:val="FootnoteReference"/>
          <w:rFonts w:ascii="Times New Roman" w:hAnsi="Times New Roman" w:cs="Times New Roman"/>
          <w:sz w:val="24"/>
          <w:szCs w:val="24"/>
          <w:lang w:val="en-GB"/>
        </w:rPr>
        <w:footnoteReference w:id="83"/>
      </w:r>
    </w:p>
    <w:p w:rsidR="006F293E" w:rsidRDefault="00DF1518" w:rsidP="006F293E">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Some explicitly compara</w:t>
      </w:r>
      <w:r w:rsidR="00436C9A">
        <w:rPr>
          <w:rFonts w:ascii="Times New Roman" w:hAnsi="Times New Roman" w:cs="Times New Roman"/>
          <w:sz w:val="24"/>
          <w:szCs w:val="24"/>
          <w:lang w:val="en-GB"/>
        </w:rPr>
        <w:t>tive studies</w:t>
      </w:r>
      <w:r>
        <w:rPr>
          <w:rFonts w:ascii="Times New Roman" w:hAnsi="Times New Roman" w:cs="Times New Roman"/>
          <w:sz w:val="24"/>
          <w:szCs w:val="24"/>
          <w:lang w:val="en-GB"/>
        </w:rPr>
        <w:t xml:space="preserve"> have also highlighted the breadth of elite</w:t>
      </w:r>
      <w:r w:rsidR="007A5A78">
        <w:rPr>
          <w:rFonts w:ascii="Times New Roman" w:hAnsi="Times New Roman" w:cs="Times New Roman"/>
          <w:sz w:val="24"/>
          <w:szCs w:val="24"/>
          <w:lang w:val="en-GB"/>
        </w:rPr>
        <w:t xml:space="preserve"> acceptance</w:t>
      </w:r>
      <w:r w:rsidR="00956AF3">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state intervention in Brazil. For example, i</w:t>
      </w:r>
      <w:r w:rsidR="006F293E">
        <w:rPr>
          <w:rFonts w:ascii="Times New Roman" w:hAnsi="Times New Roman" w:cs="Times New Roman"/>
          <w:sz w:val="24"/>
          <w:szCs w:val="24"/>
          <w:lang w:val="en-GB"/>
        </w:rPr>
        <w:t>n</w:t>
      </w:r>
      <w:r w:rsidR="001A2D54" w:rsidRPr="00D9330B">
        <w:rPr>
          <w:rFonts w:ascii="Times New Roman" w:hAnsi="Times New Roman" w:cs="Times New Roman"/>
          <w:sz w:val="24"/>
          <w:szCs w:val="24"/>
          <w:lang w:val="en-GB"/>
        </w:rPr>
        <w:t xml:space="preserve"> her book on post-World War II industrial policy in Argentina and Brazil, </w:t>
      </w:r>
      <w:proofErr w:type="spellStart"/>
      <w:r w:rsidR="001A2D54" w:rsidRPr="00D9330B">
        <w:rPr>
          <w:rFonts w:ascii="Times New Roman" w:hAnsi="Times New Roman" w:cs="Times New Roman"/>
          <w:sz w:val="24"/>
          <w:szCs w:val="24"/>
          <w:lang w:val="en-GB"/>
        </w:rPr>
        <w:t>Sikkink</w:t>
      </w:r>
      <w:proofErr w:type="spellEnd"/>
      <w:r w:rsidR="001A2D54" w:rsidRPr="00D9330B">
        <w:rPr>
          <w:rFonts w:ascii="Times New Roman" w:hAnsi="Times New Roman" w:cs="Times New Roman"/>
          <w:sz w:val="24"/>
          <w:szCs w:val="24"/>
          <w:lang w:val="en-GB"/>
        </w:rPr>
        <w:t xml:space="preserve"> underscores the far greater agreement that existed in the latter count</w:t>
      </w:r>
      <w:r w:rsidR="00A74D97">
        <w:rPr>
          <w:rFonts w:ascii="Times New Roman" w:hAnsi="Times New Roman" w:cs="Times New Roman"/>
          <w:sz w:val="24"/>
          <w:szCs w:val="24"/>
          <w:lang w:val="en-GB"/>
        </w:rPr>
        <w:t>ry regarding the</w:t>
      </w:r>
      <w:r w:rsidR="00436C9A">
        <w:rPr>
          <w:rFonts w:ascii="Times New Roman" w:hAnsi="Times New Roman" w:cs="Times New Roman"/>
          <w:sz w:val="24"/>
          <w:szCs w:val="24"/>
          <w:lang w:val="en-GB"/>
        </w:rPr>
        <w:t xml:space="preserve"> </w:t>
      </w:r>
      <w:r w:rsidR="002D5ABB">
        <w:rPr>
          <w:rFonts w:ascii="Times New Roman" w:hAnsi="Times New Roman" w:cs="Times New Roman"/>
          <w:sz w:val="24"/>
          <w:szCs w:val="24"/>
          <w:lang w:val="en-GB"/>
        </w:rPr>
        <w:t>state-led development</w:t>
      </w:r>
      <w:r w:rsidR="00436C9A">
        <w:rPr>
          <w:rFonts w:ascii="Times New Roman" w:hAnsi="Times New Roman" w:cs="Times New Roman"/>
          <w:sz w:val="24"/>
          <w:szCs w:val="24"/>
          <w:lang w:val="en-GB"/>
        </w:rPr>
        <w:t xml:space="preserve"> model</w:t>
      </w:r>
      <w:r w:rsidR="001A2D54" w:rsidRPr="00D9330B">
        <w:rPr>
          <w:rFonts w:ascii="Times New Roman" w:hAnsi="Times New Roman" w:cs="Times New Roman"/>
          <w:sz w:val="24"/>
          <w:szCs w:val="24"/>
          <w:lang w:val="en-GB"/>
        </w:rPr>
        <w:t xml:space="preserve">. In contrast to Argentina, where an on-going struggle between liberals and interventionists contributed to a zigzag pattern of policymaking, in Brazil ‘liberalism never took root…the way it did in Argentina. The real debate in Brazil was not between the liberal model and the planning model but within the </w:t>
      </w:r>
      <w:proofErr w:type="spellStart"/>
      <w:r w:rsidR="001A2D54" w:rsidRPr="00D9330B">
        <w:rPr>
          <w:rFonts w:ascii="Times New Roman" w:hAnsi="Times New Roman" w:cs="Times New Roman"/>
          <w:sz w:val="24"/>
          <w:szCs w:val="24"/>
          <w:lang w:val="en-GB"/>
        </w:rPr>
        <w:t>developmentalist</w:t>
      </w:r>
      <w:proofErr w:type="spellEnd"/>
      <w:r w:rsidR="001A2D54" w:rsidRPr="00D9330B">
        <w:rPr>
          <w:rFonts w:ascii="Times New Roman" w:hAnsi="Times New Roman" w:cs="Times New Roman"/>
          <w:sz w:val="24"/>
          <w:szCs w:val="24"/>
          <w:lang w:val="en-GB"/>
        </w:rPr>
        <w:t xml:space="preserve"> camp between cosmopolitan and national </w:t>
      </w:r>
      <w:proofErr w:type="spellStart"/>
      <w:r w:rsidR="001A2D54" w:rsidRPr="00D9330B">
        <w:rPr>
          <w:rFonts w:ascii="Times New Roman" w:hAnsi="Times New Roman" w:cs="Times New Roman"/>
          <w:sz w:val="24"/>
          <w:szCs w:val="24"/>
          <w:lang w:val="en-GB"/>
        </w:rPr>
        <w:t>developmentalists</w:t>
      </w:r>
      <w:proofErr w:type="spellEnd"/>
      <w:r w:rsidR="001A2D54" w:rsidRPr="00D9330B">
        <w:rPr>
          <w:rFonts w:ascii="Times New Roman" w:hAnsi="Times New Roman" w:cs="Times New Roman"/>
          <w:sz w:val="24"/>
          <w:szCs w:val="24"/>
          <w:lang w:val="en-GB"/>
        </w:rPr>
        <w:t>’.</w:t>
      </w:r>
      <w:r w:rsidR="001A2D54" w:rsidRPr="00D9330B">
        <w:rPr>
          <w:rStyle w:val="FootnoteReference"/>
          <w:rFonts w:ascii="Times New Roman" w:hAnsi="Times New Roman" w:cs="Times New Roman"/>
          <w:sz w:val="24"/>
          <w:szCs w:val="24"/>
          <w:lang w:val="en-GB"/>
        </w:rPr>
        <w:footnoteReference w:id="84"/>
      </w:r>
      <w:r w:rsidR="001A2D54" w:rsidRPr="00D9330B">
        <w:rPr>
          <w:rFonts w:ascii="Times New Roman" w:hAnsi="Times New Roman" w:cs="Times New Roman"/>
          <w:sz w:val="24"/>
          <w:szCs w:val="24"/>
          <w:lang w:val="en-GB"/>
        </w:rPr>
        <w:t xml:space="preserve"> Moreover, </w:t>
      </w:r>
      <w:r>
        <w:rPr>
          <w:rFonts w:ascii="Times New Roman" w:hAnsi="Times New Roman" w:cs="Times New Roman"/>
          <w:sz w:val="24"/>
          <w:szCs w:val="24"/>
          <w:lang w:val="en-GB"/>
        </w:rPr>
        <w:t>the latter debate, centring</w:t>
      </w:r>
      <w:r w:rsidR="001A2D54" w:rsidRPr="00D9330B">
        <w:rPr>
          <w:rFonts w:ascii="Times New Roman" w:hAnsi="Times New Roman" w:cs="Times New Roman"/>
          <w:sz w:val="24"/>
          <w:szCs w:val="24"/>
          <w:lang w:val="en-GB"/>
        </w:rPr>
        <w:t xml:space="preserve"> on the role of foreign investment and relations with the International Monetary Fund</w:t>
      </w:r>
      <w:r w:rsidR="001A2D54">
        <w:rPr>
          <w:rFonts w:ascii="Times New Roman" w:hAnsi="Times New Roman" w:cs="Times New Roman"/>
          <w:sz w:val="24"/>
          <w:szCs w:val="24"/>
          <w:lang w:val="en-GB"/>
        </w:rPr>
        <w:t>,</w:t>
      </w:r>
      <w:r w:rsidR="001A2D54" w:rsidRPr="00D9330B">
        <w:rPr>
          <w:rFonts w:ascii="Times New Roman" w:hAnsi="Times New Roman" w:cs="Times New Roman"/>
          <w:sz w:val="24"/>
          <w:szCs w:val="24"/>
          <w:lang w:val="en-GB"/>
        </w:rPr>
        <w:t xml:space="preserve"> did not refle</w:t>
      </w:r>
      <w:r w:rsidR="00D673CD">
        <w:rPr>
          <w:rFonts w:ascii="Times New Roman" w:hAnsi="Times New Roman" w:cs="Times New Roman"/>
          <w:sz w:val="24"/>
          <w:szCs w:val="24"/>
          <w:lang w:val="en-GB"/>
        </w:rPr>
        <w:t>ct a fundamental cleavage</w:t>
      </w:r>
      <w:r w:rsidR="00444CC5">
        <w:rPr>
          <w:rFonts w:ascii="Times New Roman" w:hAnsi="Times New Roman" w:cs="Times New Roman"/>
          <w:sz w:val="24"/>
          <w:szCs w:val="24"/>
          <w:lang w:val="en-GB"/>
        </w:rPr>
        <w:t xml:space="preserve"> either</w:t>
      </w:r>
      <w:r w:rsidR="001A2D54" w:rsidRPr="00D9330B">
        <w:rPr>
          <w:rFonts w:ascii="Times New Roman" w:hAnsi="Times New Roman" w:cs="Times New Roman"/>
          <w:sz w:val="24"/>
          <w:szCs w:val="24"/>
          <w:lang w:val="en-GB"/>
        </w:rPr>
        <w:t xml:space="preserve"> within the state or the broader society.</w:t>
      </w:r>
    </w:p>
    <w:p w:rsidR="00D8119B" w:rsidRDefault="00832433" w:rsidP="00956AF3">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Perhaps</w:t>
      </w:r>
      <w:r w:rsidR="00D8119B">
        <w:rPr>
          <w:rFonts w:ascii="Times New Roman" w:hAnsi="Times New Roman" w:cs="Times New Roman"/>
          <w:sz w:val="24"/>
          <w:szCs w:val="24"/>
          <w:lang w:val="en-GB"/>
        </w:rPr>
        <w:t xml:space="preserve"> the most significant exception</w:t>
      </w:r>
      <w:r w:rsidR="00DF1518">
        <w:rPr>
          <w:rFonts w:ascii="Times New Roman" w:hAnsi="Times New Roman" w:cs="Times New Roman"/>
          <w:sz w:val="24"/>
          <w:szCs w:val="24"/>
          <w:lang w:val="en-GB"/>
        </w:rPr>
        <w:t xml:space="preserve"> t</w:t>
      </w:r>
      <w:r w:rsidR="002D6470">
        <w:rPr>
          <w:rFonts w:ascii="Times New Roman" w:hAnsi="Times New Roman" w:cs="Times New Roman"/>
          <w:sz w:val="24"/>
          <w:szCs w:val="24"/>
          <w:lang w:val="en-GB"/>
        </w:rPr>
        <w:t>o the rule of</w:t>
      </w:r>
      <w:r w:rsidR="007A5A78">
        <w:rPr>
          <w:rFonts w:ascii="Times New Roman" w:hAnsi="Times New Roman" w:cs="Times New Roman"/>
          <w:sz w:val="24"/>
          <w:szCs w:val="24"/>
          <w:lang w:val="en-GB"/>
        </w:rPr>
        <w:t xml:space="preserve"> </w:t>
      </w:r>
      <w:r w:rsidR="00DF1518">
        <w:rPr>
          <w:rFonts w:ascii="Times New Roman" w:hAnsi="Times New Roman" w:cs="Times New Roman"/>
          <w:sz w:val="24"/>
          <w:szCs w:val="24"/>
          <w:lang w:val="en-GB"/>
        </w:rPr>
        <w:t>private sector acceptance of state intervention</w:t>
      </w:r>
      <w:r w:rsidR="00436C9A">
        <w:rPr>
          <w:rFonts w:ascii="Times New Roman" w:hAnsi="Times New Roman" w:cs="Times New Roman"/>
          <w:sz w:val="24"/>
          <w:szCs w:val="24"/>
          <w:lang w:val="en-GB"/>
        </w:rPr>
        <w:t xml:space="preserve"> in Brazil</w:t>
      </w:r>
      <w:r w:rsidR="00DF1518">
        <w:rPr>
          <w:rFonts w:ascii="Times New Roman" w:hAnsi="Times New Roman" w:cs="Times New Roman"/>
          <w:sz w:val="24"/>
          <w:szCs w:val="24"/>
          <w:lang w:val="en-GB"/>
        </w:rPr>
        <w:t xml:space="preserve"> during this period</w:t>
      </w:r>
      <w:r w:rsidR="00D8119B">
        <w:rPr>
          <w:rFonts w:ascii="Times New Roman" w:hAnsi="Times New Roman" w:cs="Times New Roman"/>
          <w:sz w:val="24"/>
          <w:szCs w:val="24"/>
          <w:lang w:val="en-GB"/>
        </w:rPr>
        <w:t xml:space="preserve"> was the mid-1970s </w:t>
      </w:r>
      <w:proofErr w:type="spellStart"/>
      <w:r w:rsidR="00D8119B" w:rsidRPr="001A2D54">
        <w:rPr>
          <w:rFonts w:ascii="Times New Roman" w:hAnsi="Times New Roman" w:cs="Times New Roman"/>
          <w:i/>
          <w:sz w:val="24"/>
          <w:szCs w:val="24"/>
          <w:lang w:val="en-GB"/>
        </w:rPr>
        <w:t>desestatização</w:t>
      </w:r>
      <w:proofErr w:type="spellEnd"/>
      <w:r w:rsidR="00D8119B">
        <w:rPr>
          <w:rFonts w:ascii="Times New Roman" w:hAnsi="Times New Roman" w:cs="Times New Roman"/>
          <w:sz w:val="24"/>
          <w:szCs w:val="24"/>
          <w:lang w:val="en-GB"/>
        </w:rPr>
        <w:t xml:space="preserve"> campaign, in which</w:t>
      </w:r>
      <w:r w:rsidR="00444CC5">
        <w:rPr>
          <w:rFonts w:ascii="Times New Roman" w:hAnsi="Times New Roman" w:cs="Times New Roman"/>
          <w:sz w:val="24"/>
          <w:szCs w:val="24"/>
          <w:lang w:val="en-GB"/>
        </w:rPr>
        <w:t xml:space="preserve"> </w:t>
      </w:r>
      <w:r w:rsidR="00444CC5">
        <w:rPr>
          <w:rFonts w:ascii="Times New Roman" w:hAnsi="Times New Roman" w:cs="Times New Roman"/>
          <w:sz w:val="24"/>
          <w:szCs w:val="24"/>
          <w:lang w:val="en-GB"/>
        </w:rPr>
        <w:lastRenderedPageBreak/>
        <w:t>some</w:t>
      </w:r>
      <w:r w:rsidR="00D8119B">
        <w:rPr>
          <w:rFonts w:ascii="Times New Roman" w:hAnsi="Times New Roman" w:cs="Times New Roman"/>
          <w:sz w:val="24"/>
          <w:szCs w:val="24"/>
          <w:lang w:val="en-GB"/>
        </w:rPr>
        <w:t xml:space="preserve"> prominent business figures </w:t>
      </w:r>
      <w:r w:rsidR="00F376A2">
        <w:rPr>
          <w:rFonts w:ascii="Times New Roman" w:hAnsi="Times New Roman" w:cs="Times New Roman"/>
          <w:sz w:val="24"/>
          <w:szCs w:val="24"/>
          <w:lang w:val="en-GB"/>
        </w:rPr>
        <w:t>publicly decried</w:t>
      </w:r>
      <w:r w:rsidR="00D8119B">
        <w:rPr>
          <w:rFonts w:ascii="Times New Roman" w:hAnsi="Times New Roman" w:cs="Times New Roman"/>
          <w:sz w:val="24"/>
          <w:szCs w:val="24"/>
          <w:lang w:val="en-GB"/>
        </w:rPr>
        <w:t xml:space="preserve"> the rapid growth of </w:t>
      </w:r>
      <w:r w:rsidR="00956AF3">
        <w:rPr>
          <w:rFonts w:ascii="Times New Roman" w:hAnsi="Times New Roman" w:cs="Times New Roman"/>
          <w:sz w:val="24"/>
          <w:szCs w:val="24"/>
          <w:lang w:val="en-GB"/>
        </w:rPr>
        <w:t>the public sector</w:t>
      </w:r>
      <w:r w:rsidR="00D8119B">
        <w:rPr>
          <w:rFonts w:ascii="Times New Roman" w:hAnsi="Times New Roman" w:cs="Times New Roman"/>
          <w:sz w:val="24"/>
          <w:szCs w:val="24"/>
          <w:lang w:val="en-GB"/>
        </w:rPr>
        <w:t xml:space="preserve"> under military rule. However, as scholars have noted, this</w:t>
      </w:r>
      <w:r w:rsidR="00956AF3">
        <w:rPr>
          <w:rFonts w:ascii="Times New Roman" w:hAnsi="Times New Roman" w:cs="Times New Roman"/>
          <w:sz w:val="24"/>
          <w:szCs w:val="24"/>
          <w:lang w:val="en-GB"/>
        </w:rPr>
        <w:t xml:space="preserve"> initiative </w:t>
      </w:r>
      <w:r w:rsidR="002D5ABB">
        <w:rPr>
          <w:rFonts w:ascii="Times New Roman" w:hAnsi="Times New Roman" w:cs="Times New Roman"/>
          <w:sz w:val="24"/>
          <w:szCs w:val="24"/>
          <w:lang w:val="en-GB"/>
        </w:rPr>
        <w:t xml:space="preserve">did not enjoy </w:t>
      </w:r>
      <w:r>
        <w:rPr>
          <w:rFonts w:ascii="Times New Roman" w:hAnsi="Times New Roman" w:cs="Times New Roman"/>
          <w:sz w:val="24"/>
          <w:szCs w:val="24"/>
          <w:lang w:val="en-GB"/>
        </w:rPr>
        <w:t>mass</w:t>
      </w:r>
      <w:r w:rsidR="00A65247">
        <w:rPr>
          <w:rFonts w:ascii="Times New Roman" w:hAnsi="Times New Roman" w:cs="Times New Roman"/>
          <w:sz w:val="24"/>
          <w:szCs w:val="24"/>
          <w:lang w:val="en-GB"/>
        </w:rPr>
        <w:t>ive</w:t>
      </w:r>
      <w:r w:rsidR="002D5ABB">
        <w:rPr>
          <w:rFonts w:ascii="Times New Roman" w:hAnsi="Times New Roman" w:cs="Times New Roman"/>
          <w:sz w:val="24"/>
          <w:szCs w:val="24"/>
          <w:lang w:val="en-GB"/>
        </w:rPr>
        <w:t xml:space="preserve"> support from the business community</w:t>
      </w:r>
      <w:r w:rsidR="00956AF3">
        <w:rPr>
          <w:rFonts w:ascii="Times New Roman" w:hAnsi="Times New Roman" w:cs="Times New Roman"/>
          <w:sz w:val="24"/>
          <w:szCs w:val="24"/>
          <w:lang w:val="en-GB"/>
        </w:rPr>
        <w:t xml:space="preserve"> and reflected frustration with a lack of political access</w:t>
      </w:r>
      <w:r w:rsidR="006F6202">
        <w:rPr>
          <w:rFonts w:ascii="Times New Roman" w:hAnsi="Times New Roman" w:cs="Times New Roman"/>
          <w:sz w:val="24"/>
          <w:szCs w:val="24"/>
          <w:lang w:val="en-GB"/>
        </w:rPr>
        <w:t xml:space="preserve"> as much or</w:t>
      </w:r>
      <w:r w:rsidR="00956AF3">
        <w:rPr>
          <w:rFonts w:ascii="Times New Roman" w:hAnsi="Times New Roman" w:cs="Times New Roman"/>
          <w:sz w:val="24"/>
          <w:szCs w:val="24"/>
          <w:lang w:val="en-GB"/>
        </w:rPr>
        <w:t xml:space="preserve"> more than it did opposition t</w:t>
      </w:r>
      <w:r w:rsidR="002D6470">
        <w:rPr>
          <w:rFonts w:ascii="Times New Roman" w:hAnsi="Times New Roman" w:cs="Times New Roman"/>
          <w:sz w:val="24"/>
          <w:szCs w:val="24"/>
          <w:lang w:val="en-GB"/>
        </w:rPr>
        <w:t>o</w:t>
      </w:r>
      <w:r w:rsidR="00956AF3">
        <w:rPr>
          <w:rFonts w:ascii="Times New Roman" w:hAnsi="Times New Roman" w:cs="Times New Roman"/>
          <w:sz w:val="24"/>
          <w:szCs w:val="24"/>
          <w:lang w:val="en-GB"/>
        </w:rPr>
        <w:t xml:space="preserve"> intervention per se</w:t>
      </w:r>
      <w:r w:rsidR="00D8119B">
        <w:rPr>
          <w:rFonts w:ascii="Times New Roman" w:hAnsi="Times New Roman" w:cs="Times New Roman"/>
          <w:sz w:val="24"/>
          <w:szCs w:val="24"/>
          <w:lang w:val="en-GB"/>
        </w:rPr>
        <w:t>.</w:t>
      </w:r>
      <w:r w:rsidR="00D8119B">
        <w:rPr>
          <w:rStyle w:val="FootnoteReference"/>
          <w:rFonts w:ascii="Times New Roman" w:hAnsi="Times New Roman" w:cs="Times New Roman"/>
          <w:sz w:val="24"/>
          <w:szCs w:val="24"/>
          <w:lang w:val="en-GB"/>
        </w:rPr>
        <w:footnoteReference w:id="85"/>
      </w:r>
    </w:p>
    <w:p w:rsidR="004406B5" w:rsidRPr="00D9330B" w:rsidRDefault="004406B5" w:rsidP="004406B5">
      <w:pPr>
        <w:spacing w:after="0" w:line="480" w:lineRule="auto"/>
        <w:rPr>
          <w:rFonts w:ascii="Times New Roman" w:hAnsi="Times New Roman" w:cs="Times New Roman"/>
          <w:sz w:val="24"/>
          <w:szCs w:val="24"/>
          <w:lang w:val="en-GB"/>
        </w:rPr>
      </w:pPr>
    </w:p>
    <w:p w:rsidR="007B0951" w:rsidRPr="00D9330B" w:rsidRDefault="004406B5" w:rsidP="00AE24E6">
      <w:pPr>
        <w:spacing w:after="0" w:line="480" w:lineRule="auto"/>
        <w:jc w:val="center"/>
        <w:rPr>
          <w:rFonts w:ascii="Times New Roman" w:hAnsi="Times New Roman" w:cs="Times New Roman"/>
          <w:i/>
          <w:sz w:val="24"/>
          <w:szCs w:val="24"/>
          <w:lang w:val="en-GB"/>
        </w:rPr>
      </w:pPr>
      <w:r w:rsidRPr="00D9330B">
        <w:rPr>
          <w:rFonts w:ascii="Times New Roman" w:hAnsi="Times New Roman" w:cs="Times New Roman"/>
          <w:i/>
          <w:sz w:val="24"/>
          <w:szCs w:val="24"/>
          <w:lang w:val="en-GB"/>
        </w:rPr>
        <w:t>Brazil’s Persiste</w:t>
      </w:r>
      <w:r w:rsidR="009A7460" w:rsidRPr="00D9330B">
        <w:rPr>
          <w:rFonts w:ascii="Times New Roman" w:hAnsi="Times New Roman" w:cs="Times New Roman"/>
          <w:i/>
          <w:sz w:val="24"/>
          <w:szCs w:val="24"/>
          <w:lang w:val="en-GB"/>
        </w:rPr>
        <w:t>nce atop the Tax Burden Ranking</w:t>
      </w:r>
    </w:p>
    <w:p w:rsidR="00AE24E6" w:rsidRPr="00D9330B" w:rsidRDefault="006B0AD4" w:rsidP="00B64EBC">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Since its</w:t>
      </w:r>
      <w:r w:rsidR="00845616" w:rsidRPr="00D9330B">
        <w:rPr>
          <w:rFonts w:ascii="Times New Roman" w:hAnsi="Times New Roman" w:cs="Times New Roman"/>
          <w:sz w:val="24"/>
          <w:szCs w:val="24"/>
          <w:lang w:val="en-GB"/>
        </w:rPr>
        <w:t xml:space="preserve"> emergence as Latin America’s most heavily-taxed society in th</w:t>
      </w:r>
      <w:r w:rsidR="005371C7" w:rsidRPr="00D9330B">
        <w:rPr>
          <w:rFonts w:ascii="Times New Roman" w:hAnsi="Times New Roman" w:cs="Times New Roman"/>
          <w:sz w:val="24"/>
          <w:szCs w:val="24"/>
          <w:lang w:val="en-GB"/>
        </w:rPr>
        <w:t>e early 1980s Brazil has</w:t>
      </w:r>
      <w:r w:rsidR="00862F81" w:rsidRPr="00D9330B">
        <w:rPr>
          <w:rFonts w:ascii="Times New Roman" w:hAnsi="Times New Roman" w:cs="Times New Roman"/>
          <w:sz w:val="24"/>
          <w:szCs w:val="24"/>
          <w:lang w:val="en-GB"/>
        </w:rPr>
        <w:t xml:space="preserve"> maintained that status</w:t>
      </w:r>
      <w:r w:rsidRPr="00D9330B">
        <w:rPr>
          <w:rFonts w:ascii="Times New Roman" w:hAnsi="Times New Roman" w:cs="Times New Roman"/>
          <w:sz w:val="24"/>
          <w:szCs w:val="24"/>
          <w:lang w:val="en-GB"/>
        </w:rPr>
        <w:t>, but</w:t>
      </w:r>
      <w:r w:rsidR="00845616" w:rsidRPr="00D9330B">
        <w:rPr>
          <w:rFonts w:ascii="Times New Roman" w:hAnsi="Times New Roman" w:cs="Times New Roman"/>
          <w:sz w:val="24"/>
          <w:szCs w:val="24"/>
          <w:lang w:val="en-GB"/>
        </w:rPr>
        <w:t xml:space="preserve"> </w:t>
      </w:r>
      <w:r w:rsidR="006D79FB" w:rsidRPr="00D9330B">
        <w:rPr>
          <w:rFonts w:ascii="Times New Roman" w:hAnsi="Times New Roman" w:cs="Times New Roman"/>
          <w:sz w:val="24"/>
          <w:szCs w:val="24"/>
          <w:lang w:val="en-GB"/>
        </w:rPr>
        <w:t>the reasons</w:t>
      </w:r>
      <w:r w:rsidR="009B09B3" w:rsidRPr="00D9330B">
        <w:rPr>
          <w:rFonts w:ascii="Times New Roman" w:hAnsi="Times New Roman" w:cs="Times New Roman"/>
          <w:sz w:val="24"/>
          <w:szCs w:val="24"/>
          <w:lang w:val="en-GB"/>
        </w:rPr>
        <w:t xml:space="preserve"> behind its persi</w:t>
      </w:r>
      <w:r w:rsidR="005B46D4" w:rsidRPr="00D9330B">
        <w:rPr>
          <w:rFonts w:ascii="Times New Roman" w:hAnsi="Times New Roman" w:cs="Times New Roman"/>
          <w:sz w:val="24"/>
          <w:szCs w:val="24"/>
          <w:lang w:val="en-GB"/>
        </w:rPr>
        <w:t>stence</w:t>
      </w:r>
      <w:r w:rsidR="009B09B3" w:rsidRPr="00D9330B">
        <w:rPr>
          <w:rFonts w:ascii="Times New Roman" w:hAnsi="Times New Roman" w:cs="Times New Roman"/>
          <w:sz w:val="24"/>
          <w:szCs w:val="24"/>
          <w:lang w:val="en-GB"/>
        </w:rPr>
        <w:t xml:space="preserve"> are not the sam</w:t>
      </w:r>
      <w:r w:rsidR="00225D7D" w:rsidRPr="00D9330B">
        <w:rPr>
          <w:rFonts w:ascii="Times New Roman" w:hAnsi="Times New Roman" w:cs="Times New Roman"/>
          <w:sz w:val="24"/>
          <w:szCs w:val="24"/>
          <w:lang w:val="en-GB"/>
        </w:rPr>
        <w:t xml:space="preserve">e as </w:t>
      </w:r>
      <w:r w:rsidR="005B46D4" w:rsidRPr="00D9330B">
        <w:rPr>
          <w:rFonts w:ascii="Times New Roman" w:hAnsi="Times New Roman" w:cs="Times New Roman"/>
          <w:sz w:val="24"/>
          <w:szCs w:val="24"/>
          <w:lang w:val="en-GB"/>
        </w:rPr>
        <w:t>the ones that explain</w:t>
      </w:r>
      <w:r w:rsidR="00225D7D" w:rsidRPr="00D9330B">
        <w:rPr>
          <w:rFonts w:ascii="Times New Roman" w:hAnsi="Times New Roman" w:cs="Times New Roman"/>
          <w:sz w:val="24"/>
          <w:szCs w:val="24"/>
          <w:lang w:val="en-GB"/>
        </w:rPr>
        <w:t xml:space="preserve"> its</w:t>
      </w:r>
      <w:r w:rsidR="009B09B3" w:rsidRPr="00D9330B">
        <w:rPr>
          <w:rFonts w:ascii="Times New Roman" w:hAnsi="Times New Roman" w:cs="Times New Roman"/>
          <w:sz w:val="24"/>
          <w:szCs w:val="24"/>
          <w:lang w:val="en-GB"/>
        </w:rPr>
        <w:t xml:space="preserve"> rise.</w:t>
      </w:r>
      <w:r w:rsidR="005F0A68" w:rsidRPr="00D9330B">
        <w:rPr>
          <w:rFonts w:ascii="Times New Roman" w:hAnsi="Times New Roman" w:cs="Times New Roman"/>
          <w:sz w:val="24"/>
          <w:szCs w:val="24"/>
          <w:lang w:val="en-GB"/>
        </w:rPr>
        <w:t xml:space="preserve"> </w:t>
      </w:r>
      <w:r w:rsidR="00225D7D" w:rsidRPr="00D9330B">
        <w:rPr>
          <w:rFonts w:ascii="Times New Roman" w:hAnsi="Times New Roman" w:cs="Times New Roman"/>
          <w:sz w:val="24"/>
          <w:szCs w:val="24"/>
          <w:lang w:val="en-GB"/>
        </w:rPr>
        <w:t>Popular p</w:t>
      </w:r>
      <w:r w:rsidR="006137E7" w:rsidRPr="00D9330B">
        <w:rPr>
          <w:rFonts w:ascii="Times New Roman" w:hAnsi="Times New Roman" w:cs="Times New Roman"/>
          <w:sz w:val="24"/>
          <w:szCs w:val="24"/>
          <w:lang w:val="en-GB"/>
        </w:rPr>
        <w:t xml:space="preserve">ressures </w:t>
      </w:r>
      <w:r w:rsidR="00225D7D" w:rsidRPr="00D9330B">
        <w:rPr>
          <w:rFonts w:ascii="Times New Roman" w:hAnsi="Times New Roman" w:cs="Times New Roman"/>
          <w:sz w:val="24"/>
          <w:szCs w:val="24"/>
          <w:lang w:val="en-GB"/>
        </w:rPr>
        <w:t>for redistributive spending</w:t>
      </w:r>
      <w:r w:rsidR="006137E7" w:rsidRPr="00D9330B">
        <w:rPr>
          <w:rFonts w:ascii="Times New Roman" w:hAnsi="Times New Roman" w:cs="Times New Roman"/>
          <w:sz w:val="24"/>
          <w:szCs w:val="24"/>
          <w:lang w:val="en-GB"/>
        </w:rPr>
        <w:t xml:space="preserve"> became a more important factor in the growth of the Br</w:t>
      </w:r>
      <w:r w:rsidR="008D3090" w:rsidRPr="00D9330B">
        <w:rPr>
          <w:rFonts w:ascii="Times New Roman" w:hAnsi="Times New Roman" w:cs="Times New Roman"/>
          <w:sz w:val="24"/>
          <w:szCs w:val="24"/>
          <w:lang w:val="en-GB"/>
        </w:rPr>
        <w:t>azilian state</w:t>
      </w:r>
      <w:r w:rsidR="00C46F2D" w:rsidRPr="00D9330B">
        <w:rPr>
          <w:rFonts w:ascii="Times New Roman" w:hAnsi="Times New Roman" w:cs="Times New Roman"/>
          <w:sz w:val="24"/>
          <w:szCs w:val="24"/>
          <w:lang w:val="en-GB"/>
        </w:rPr>
        <w:t xml:space="preserve"> during this period</w:t>
      </w:r>
      <w:r w:rsidR="006137E7" w:rsidRPr="00D9330B">
        <w:rPr>
          <w:rFonts w:ascii="Times New Roman" w:hAnsi="Times New Roman" w:cs="Times New Roman"/>
          <w:sz w:val="24"/>
          <w:szCs w:val="24"/>
          <w:lang w:val="en-GB"/>
        </w:rPr>
        <w:t>, just as they</w:t>
      </w:r>
      <w:r w:rsidR="00E10F6B" w:rsidRPr="00D9330B">
        <w:rPr>
          <w:rFonts w:ascii="Times New Roman" w:hAnsi="Times New Roman" w:cs="Times New Roman"/>
          <w:sz w:val="24"/>
          <w:szCs w:val="24"/>
          <w:lang w:val="en-GB"/>
        </w:rPr>
        <w:t xml:space="preserve"> stagnated or</w:t>
      </w:r>
      <w:r w:rsidR="006137E7" w:rsidRPr="00D9330B">
        <w:rPr>
          <w:rFonts w:ascii="Times New Roman" w:hAnsi="Times New Roman" w:cs="Times New Roman"/>
          <w:sz w:val="24"/>
          <w:szCs w:val="24"/>
          <w:lang w:val="en-GB"/>
        </w:rPr>
        <w:t xml:space="preserve"> declined in the other countries.</w:t>
      </w:r>
      <w:r w:rsidR="000D7EA2" w:rsidRPr="00D9330B">
        <w:rPr>
          <w:rFonts w:ascii="Times New Roman" w:hAnsi="Times New Roman" w:cs="Times New Roman"/>
          <w:sz w:val="24"/>
          <w:szCs w:val="24"/>
          <w:lang w:val="en-GB"/>
        </w:rPr>
        <w:t xml:space="preserve"> It is within this c</w:t>
      </w:r>
      <w:r w:rsidR="00942BFE" w:rsidRPr="00D9330B">
        <w:rPr>
          <w:rFonts w:ascii="Times New Roman" w:hAnsi="Times New Roman" w:cs="Times New Roman"/>
          <w:sz w:val="24"/>
          <w:szCs w:val="24"/>
          <w:lang w:val="en-GB"/>
        </w:rPr>
        <w:t>ontext of rising</w:t>
      </w:r>
      <w:r w:rsidR="00227838" w:rsidRPr="00D9330B">
        <w:rPr>
          <w:rFonts w:ascii="Times New Roman" w:hAnsi="Times New Roman" w:cs="Times New Roman"/>
          <w:sz w:val="24"/>
          <w:szCs w:val="24"/>
          <w:lang w:val="en-GB"/>
        </w:rPr>
        <w:t xml:space="preserve"> political</w:t>
      </w:r>
      <w:r w:rsidR="00C46F2D" w:rsidRPr="00D9330B">
        <w:rPr>
          <w:rFonts w:ascii="Times New Roman" w:hAnsi="Times New Roman" w:cs="Times New Roman"/>
          <w:sz w:val="24"/>
          <w:szCs w:val="24"/>
          <w:lang w:val="en-GB"/>
        </w:rPr>
        <w:t xml:space="preserve"> pressure</w:t>
      </w:r>
      <w:r w:rsidR="008D3090" w:rsidRPr="00D9330B">
        <w:rPr>
          <w:rFonts w:ascii="Times New Roman" w:hAnsi="Times New Roman" w:cs="Times New Roman"/>
          <w:sz w:val="24"/>
          <w:szCs w:val="24"/>
          <w:lang w:val="en-GB"/>
        </w:rPr>
        <w:t xml:space="preserve"> for social outlays</w:t>
      </w:r>
      <w:r w:rsidR="000D7EA2" w:rsidRPr="00D9330B">
        <w:rPr>
          <w:rFonts w:ascii="Times New Roman" w:hAnsi="Times New Roman" w:cs="Times New Roman"/>
          <w:sz w:val="24"/>
          <w:szCs w:val="24"/>
          <w:lang w:val="en-GB"/>
        </w:rPr>
        <w:t xml:space="preserve"> that the o</w:t>
      </w:r>
      <w:r w:rsidR="006C22E1">
        <w:rPr>
          <w:rFonts w:ascii="Times New Roman" w:hAnsi="Times New Roman" w:cs="Times New Roman"/>
          <w:sz w:val="24"/>
          <w:szCs w:val="24"/>
          <w:lang w:val="en-GB"/>
        </w:rPr>
        <w:t>rigins and effects of the 1988 c</w:t>
      </w:r>
      <w:r w:rsidR="000D7EA2" w:rsidRPr="00D9330B">
        <w:rPr>
          <w:rFonts w:ascii="Times New Roman" w:hAnsi="Times New Roman" w:cs="Times New Roman"/>
          <w:sz w:val="24"/>
          <w:szCs w:val="24"/>
          <w:lang w:val="en-GB"/>
        </w:rPr>
        <w:t>onstitution must be understood.</w:t>
      </w:r>
      <w:r w:rsidR="006137E7" w:rsidRPr="00D9330B">
        <w:rPr>
          <w:rFonts w:ascii="Times New Roman" w:hAnsi="Times New Roman" w:cs="Times New Roman"/>
          <w:sz w:val="24"/>
          <w:szCs w:val="24"/>
          <w:lang w:val="en-GB"/>
        </w:rPr>
        <w:t xml:space="preserve"> At the same time, the s</w:t>
      </w:r>
      <w:r w:rsidR="00813D7E" w:rsidRPr="00D9330B">
        <w:rPr>
          <w:rFonts w:ascii="Times New Roman" w:hAnsi="Times New Roman" w:cs="Times New Roman"/>
          <w:sz w:val="24"/>
          <w:szCs w:val="24"/>
          <w:lang w:val="en-GB"/>
        </w:rPr>
        <w:t>trengthening of democracy</w:t>
      </w:r>
      <w:r w:rsidR="006137E7" w:rsidRPr="00D9330B">
        <w:rPr>
          <w:rFonts w:ascii="Times New Roman" w:hAnsi="Times New Roman" w:cs="Times New Roman"/>
          <w:sz w:val="24"/>
          <w:szCs w:val="24"/>
          <w:lang w:val="en-GB"/>
        </w:rPr>
        <w:t xml:space="preserve"> across the region made it less</w:t>
      </w:r>
      <w:r w:rsidR="00225D7D" w:rsidRPr="00D9330B">
        <w:rPr>
          <w:rFonts w:ascii="Times New Roman" w:hAnsi="Times New Roman" w:cs="Times New Roman"/>
          <w:sz w:val="24"/>
          <w:szCs w:val="24"/>
          <w:lang w:val="en-GB"/>
        </w:rPr>
        <w:t xml:space="preserve"> likely</w:t>
      </w:r>
      <w:r w:rsidR="006137E7" w:rsidRPr="00D9330B">
        <w:rPr>
          <w:rFonts w:ascii="Times New Roman" w:hAnsi="Times New Roman" w:cs="Times New Roman"/>
          <w:sz w:val="24"/>
          <w:szCs w:val="24"/>
          <w:lang w:val="en-GB"/>
        </w:rPr>
        <w:t xml:space="preserve"> that the growth of </w:t>
      </w:r>
      <w:r w:rsidR="00225D7D" w:rsidRPr="00D9330B">
        <w:rPr>
          <w:rFonts w:ascii="Times New Roman" w:hAnsi="Times New Roman" w:cs="Times New Roman"/>
          <w:sz w:val="24"/>
          <w:szCs w:val="24"/>
          <w:lang w:val="en-GB"/>
        </w:rPr>
        <w:t xml:space="preserve">such </w:t>
      </w:r>
      <w:r w:rsidR="006137E7" w:rsidRPr="00D9330B">
        <w:rPr>
          <w:rFonts w:ascii="Times New Roman" w:hAnsi="Times New Roman" w:cs="Times New Roman"/>
          <w:sz w:val="24"/>
          <w:szCs w:val="24"/>
          <w:lang w:val="en-GB"/>
        </w:rPr>
        <w:t>pressures</w:t>
      </w:r>
      <w:r w:rsidR="00225D7D" w:rsidRPr="00D9330B">
        <w:rPr>
          <w:rFonts w:ascii="Times New Roman" w:hAnsi="Times New Roman" w:cs="Times New Roman"/>
          <w:sz w:val="24"/>
          <w:szCs w:val="24"/>
          <w:lang w:val="en-GB"/>
        </w:rPr>
        <w:t xml:space="preserve"> in Brazil</w:t>
      </w:r>
      <w:r w:rsidR="006137E7" w:rsidRPr="00D9330B">
        <w:rPr>
          <w:rFonts w:ascii="Times New Roman" w:hAnsi="Times New Roman" w:cs="Times New Roman"/>
          <w:sz w:val="24"/>
          <w:szCs w:val="24"/>
          <w:lang w:val="en-GB"/>
        </w:rPr>
        <w:t xml:space="preserve"> would culminate, as it had</w:t>
      </w:r>
      <w:r w:rsidR="00322EA4" w:rsidRPr="00D9330B">
        <w:rPr>
          <w:rFonts w:ascii="Times New Roman" w:hAnsi="Times New Roman" w:cs="Times New Roman"/>
          <w:sz w:val="24"/>
          <w:szCs w:val="24"/>
          <w:lang w:val="en-GB"/>
        </w:rPr>
        <w:t xml:space="preserve"> earlier</w:t>
      </w:r>
      <w:r w:rsidR="006137E7" w:rsidRPr="00D9330B">
        <w:rPr>
          <w:rFonts w:ascii="Times New Roman" w:hAnsi="Times New Roman" w:cs="Times New Roman"/>
          <w:sz w:val="24"/>
          <w:szCs w:val="24"/>
          <w:lang w:val="en-GB"/>
        </w:rPr>
        <w:t xml:space="preserve"> in the Southern</w:t>
      </w:r>
      <w:r w:rsidR="00225D7D" w:rsidRPr="00D9330B">
        <w:rPr>
          <w:rFonts w:ascii="Times New Roman" w:hAnsi="Times New Roman" w:cs="Times New Roman"/>
          <w:sz w:val="24"/>
          <w:szCs w:val="24"/>
          <w:lang w:val="en-GB"/>
        </w:rPr>
        <w:t xml:space="preserve"> C</w:t>
      </w:r>
      <w:r w:rsidR="00FF6720" w:rsidRPr="00D9330B">
        <w:rPr>
          <w:rFonts w:ascii="Times New Roman" w:hAnsi="Times New Roman" w:cs="Times New Roman"/>
          <w:sz w:val="24"/>
          <w:szCs w:val="24"/>
          <w:lang w:val="en-GB"/>
        </w:rPr>
        <w:t>one</w:t>
      </w:r>
      <w:r w:rsidR="00225D7D" w:rsidRPr="00D9330B">
        <w:rPr>
          <w:rFonts w:ascii="Times New Roman" w:hAnsi="Times New Roman" w:cs="Times New Roman"/>
          <w:sz w:val="24"/>
          <w:szCs w:val="24"/>
          <w:lang w:val="en-GB"/>
        </w:rPr>
        <w:t>, in an authoritarian regime capabl</w:t>
      </w:r>
      <w:r w:rsidR="00322EA4" w:rsidRPr="00D9330B">
        <w:rPr>
          <w:rFonts w:ascii="Times New Roman" w:hAnsi="Times New Roman" w:cs="Times New Roman"/>
          <w:sz w:val="24"/>
          <w:szCs w:val="24"/>
          <w:lang w:val="en-GB"/>
        </w:rPr>
        <w:t>e of che</w:t>
      </w:r>
      <w:r w:rsidR="00366939" w:rsidRPr="00D9330B">
        <w:rPr>
          <w:rFonts w:ascii="Times New Roman" w:hAnsi="Times New Roman" w:cs="Times New Roman"/>
          <w:sz w:val="24"/>
          <w:szCs w:val="24"/>
          <w:lang w:val="en-GB"/>
        </w:rPr>
        <w:t>cking state expansion</w:t>
      </w:r>
      <w:r w:rsidR="000D7EA2" w:rsidRPr="00D9330B">
        <w:rPr>
          <w:rFonts w:ascii="Times New Roman" w:hAnsi="Times New Roman" w:cs="Times New Roman"/>
          <w:sz w:val="24"/>
          <w:szCs w:val="24"/>
          <w:lang w:val="en-GB"/>
        </w:rPr>
        <w:t>.</w:t>
      </w:r>
    </w:p>
    <w:p w:rsidR="007905FA" w:rsidRPr="00D9330B" w:rsidRDefault="00E10F6B" w:rsidP="00E10F6B">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w:t>
      </w:r>
      <w:r w:rsidR="001F6B6A" w:rsidRPr="00D9330B">
        <w:rPr>
          <w:rFonts w:ascii="Times New Roman" w:hAnsi="Times New Roman" w:cs="Times New Roman"/>
          <w:sz w:val="24"/>
          <w:szCs w:val="24"/>
          <w:lang w:val="en-GB"/>
        </w:rPr>
        <w:t xml:space="preserve"> liberalising</w:t>
      </w:r>
      <w:r w:rsidR="00186C79" w:rsidRPr="00D9330B">
        <w:rPr>
          <w:rFonts w:ascii="Times New Roman" w:hAnsi="Times New Roman" w:cs="Times New Roman"/>
          <w:sz w:val="24"/>
          <w:szCs w:val="24"/>
          <w:lang w:val="en-GB"/>
        </w:rPr>
        <w:t>, anti-industry thrust of economi</w:t>
      </w:r>
      <w:r w:rsidR="003B0C5C" w:rsidRPr="00D9330B">
        <w:rPr>
          <w:rFonts w:ascii="Times New Roman" w:hAnsi="Times New Roman" w:cs="Times New Roman"/>
          <w:sz w:val="24"/>
          <w:szCs w:val="24"/>
          <w:lang w:val="en-GB"/>
        </w:rPr>
        <w:t>c policy</w:t>
      </w:r>
      <w:r w:rsidR="00186C79" w:rsidRPr="00D9330B">
        <w:rPr>
          <w:rFonts w:ascii="Times New Roman" w:hAnsi="Times New Roman" w:cs="Times New Roman"/>
          <w:sz w:val="24"/>
          <w:szCs w:val="24"/>
          <w:lang w:val="en-GB"/>
        </w:rPr>
        <w:t xml:space="preserve"> among</w:t>
      </w:r>
      <w:r w:rsidRPr="00D9330B">
        <w:rPr>
          <w:rFonts w:ascii="Times New Roman" w:hAnsi="Times New Roman" w:cs="Times New Roman"/>
          <w:sz w:val="24"/>
          <w:szCs w:val="24"/>
          <w:lang w:val="en-GB"/>
        </w:rPr>
        <w:t xml:space="preserve"> the Southern Cone authoritarian regimes </w:t>
      </w:r>
      <w:r w:rsidR="00366939" w:rsidRPr="00D9330B">
        <w:rPr>
          <w:rFonts w:ascii="Times New Roman" w:hAnsi="Times New Roman" w:cs="Times New Roman"/>
          <w:sz w:val="24"/>
          <w:szCs w:val="24"/>
          <w:lang w:val="en-GB"/>
        </w:rPr>
        <w:t xml:space="preserve">of the 1970s </w:t>
      </w:r>
      <w:r w:rsidR="001D00DD" w:rsidRPr="00D9330B">
        <w:rPr>
          <w:rFonts w:ascii="Times New Roman" w:hAnsi="Times New Roman" w:cs="Times New Roman"/>
          <w:sz w:val="24"/>
          <w:szCs w:val="24"/>
          <w:lang w:val="en-GB"/>
        </w:rPr>
        <w:t>tended to weaken the groups</w:t>
      </w:r>
      <w:r w:rsidR="00186C79" w:rsidRPr="00D9330B">
        <w:rPr>
          <w:rFonts w:ascii="Times New Roman" w:hAnsi="Times New Roman" w:cs="Times New Roman"/>
          <w:sz w:val="24"/>
          <w:szCs w:val="24"/>
          <w:lang w:val="en-GB"/>
        </w:rPr>
        <w:t xml:space="preserve">, especially </w:t>
      </w:r>
      <w:r w:rsidR="008D3090" w:rsidRPr="00D9330B">
        <w:rPr>
          <w:rFonts w:ascii="Times New Roman" w:hAnsi="Times New Roman" w:cs="Times New Roman"/>
          <w:sz w:val="24"/>
          <w:szCs w:val="24"/>
          <w:lang w:val="en-GB"/>
        </w:rPr>
        <w:t>organis</w:t>
      </w:r>
      <w:r w:rsidR="00186C79" w:rsidRPr="00D9330B">
        <w:rPr>
          <w:rFonts w:ascii="Times New Roman" w:hAnsi="Times New Roman" w:cs="Times New Roman"/>
          <w:sz w:val="24"/>
          <w:szCs w:val="24"/>
          <w:lang w:val="en-GB"/>
        </w:rPr>
        <w:t>ed labour,</w:t>
      </w:r>
      <w:r w:rsidRPr="00D9330B">
        <w:rPr>
          <w:rFonts w:ascii="Times New Roman" w:hAnsi="Times New Roman" w:cs="Times New Roman"/>
          <w:sz w:val="24"/>
          <w:szCs w:val="24"/>
          <w:lang w:val="en-GB"/>
        </w:rPr>
        <w:t xml:space="preserve"> whose demands had </w:t>
      </w:r>
      <w:r w:rsidR="00E3368A" w:rsidRPr="00D9330B">
        <w:rPr>
          <w:rFonts w:ascii="Times New Roman" w:hAnsi="Times New Roman" w:cs="Times New Roman"/>
          <w:sz w:val="24"/>
          <w:szCs w:val="24"/>
          <w:lang w:val="en-GB"/>
        </w:rPr>
        <w:t xml:space="preserve">previously </w:t>
      </w:r>
      <w:r w:rsidRPr="00D9330B">
        <w:rPr>
          <w:rFonts w:ascii="Times New Roman" w:hAnsi="Times New Roman" w:cs="Times New Roman"/>
          <w:sz w:val="24"/>
          <w:szCs w:val="24"/>
          <w:lang w:val="en-GB"/>
        </w:rPr>
        <w:t xml:space="preserve">helped propel </w:t>
      </w:r>
      <w:r w:rsidR="00E3368A" w:rsidRPr="00D9330B">
        <w:rPr>
          <w:rFonts w:ascii="Times New Roman" w:hAnsi="Times New Roman" w:cs="Times New Roman"/>
          <w:sz w:val="24"/>
          <w:szCs w:val="24"/>
          <w:lang w:val="en-GB"/>
        </w:rPr>
        <w:t>public sector</w:t>
      </w:r>
      <w:r w:rsidR="000D7EA2" w:rsidRPr="00D9330B">
        <w:rPr>
          <w:rFonts w:ascii="Times New Roman" w:hAnsi="Times New Roman" w:cs="Times New Roman"/>
          <w:sz w:val="24"/>
          <w:szCs w:val="24"/>
          <w:lang w:val="en-GB"/>
        </w:rPr>
        <w:t xml:space="preserve"> growth</w:t>
      </w:r>
      <w:r w:rsidR="00186C79" w:rsidRPr="00D9330B">
        <w:rPr>
          <w:rFonts w:ascii="Times New Roman" w:hAnsi="Times New Roman" w:cs="Times New Roman"/>
          <w:sz w:val="24"/>
          <w:szCs w:val="24"/>
          <w:lang w:val="en-GB"/>
        </w:rPr>
        <w:t xml:space="preserve"> </w:t>
      </w:r>
      <w:r w:rsidR="007905FA" w:rsidRPr="00D9330B">
        <w:rPr>
          <w:rFonts w:ascii="Times New Roman" w:hAnsi="Times New Roman" w:cs="Times New Roman"/>
          <w:sz w:val="24"/>
          <w:szCs w:val="24"/>
          <w:lang w:val="en-GB"/>
        </w:rPr>
        <w:t>and</w:t>
      </w:r>
      <w:r w:rsidR="00186C79" w:rsidRPr="00D9330B">
        <w:rPr>
          <w:rFonts w:ascii="Times New Roman" w:hAnsi="Times New Roman" w:cs="Times New Roman"/>
          <w:sz w:val="24"/>
          <w:szCs w:val="24"/>
          <w:lang w:val="en-GB"/>
        </w:rPr>
        <w:t xml:space="preserve"> to</w:t>
      </w:r>
      <w:r w:rsidR="007905FA" w:rsidRPr="00D9330B">
        <w:rPr>
          <w:rFonts w:ascii="Times New Roman" w:hAnsi="Times New Roman" w:cs="Times New Roman"/>
          <w:sz w:val="24"/>
          <w:szCs w:val="24"/>
          <w:lang w:val="en-GB"/>
        </w:rPr>
        <w:t xml:space="preserve"> cast doubt on the sta</w:t>
      </w:r>
      <w:r w:rsidR="003B0C5C" w:rsidRPr="00D9330B">
        <w:rPr>
          <w:rFonts w:ascii="Times New Roman" w:hAnsi="Times New Roman" w:cs="Times New Roman"/>
          <w:sz w:val="24"/>
          <w:szCs w:val="24"/>
          <w:lang w:val="en-GB"/>
        </w:rPr>
        <w:t>tist policies they had</w:t>
      </w:r>
      <w:r w:rsidR="002A3B91" w:rsidRPr="00D9330B">
        <w:rPr>
          <w:rFonts w:ascii="Times New Roman" w:hAnsi="Times New Roman" w:cs="Times New Roman"/>
          <w:sz w:val="24"/>
          <w:szCs w:val="24"/>
          <w:lang w:val="en-GB"/>
        </w:rPr>
        <w:t xml:space="preserve"> </w:t>
      </w:r>
      <w:r w:rsidR="007905FA" w:rsidRPr="00D9330B">
        <w:rPr>
          <w:rFonts w:ascii="Times New Roman" w:hAnsi="Times New Roman" w:cs="Times New Roman"/>
          <w:sz w:val="24"/>
          <w:szCs w:val="24"/>
          <w:lang w:val="en-GB"/>
        </w:rPr>
        <w:t>advocated</w:t>
      </w:r>
      <w:r w:rsidRPr="00D9330B">
        <w:rPr>
          <w:rFonts w:ascii="Times New Roman" w:hAnsi="Times New Roman" w:cs="Times New Roman"/>
          <w:sz w:val="24"/>
          <w:szCs w:val="24"/>
          <w:lang w:val="en-GB"/>
        </w:rPr>
        <w:t xml:space="preserve">. </w:t>
      </w:r>
      <w:r w:rsidR="007905FA" w:rsidRPr="00D9330B">
        <w:rPr>
          <w:rFonts w:ascii="Times New Roman" w:hAnsi="Times New Roman" w:cs="Times New Roman"/>
          <w:sz w:val="24"/>
          <w:szCs w:val="24"/>
          <w:lang w:val="en-GB"/>
        </w:rPr>
        <w:t>At least for</w:t>
      </w:r>
      <w:r w:rsidR="007C4D07" w:rsidRPr="00D9330B">
        <w:rPr>
          <w:rFonts w:ascii="Times New Roman" w:hAnsi="Times New Roman" w:cs="Times New Roman"/>
          <w:sz w:val="24"/>
          <w:szCs w:val="24"/>
          <w:lang w:val="en-GB"/>
        </w:rPr>
        <w:t xml:space="preserve"> a time, these effects helped</w:t>
      </w:r>
      <w:r w:rsidR="007905FA" w:rsidRPr="00D9330B">
        <w:rPr>
          <w:rFonts w:ascii="Times New Roman" w:hAnsi="Times New Roman" w:cs="Times New Roman"/>
          <w:sz w:val="24"/>
          <w:szCs w:val="24"/>
          <w:lang w:val="en-GB"/>
        </w:rPr>
        <w:t xml:space="preserve"> check the</w:t>
      </w:r>
      <w:r w:rsidR="000D7EA2" w:rsidRPr="00D9330B">
        <w:rPr>
          <w:rFonts w:ascii="Times New Roman" w:hAnsi="Times New Roman" w:cs="Times New Roman"/>
          <w:sz w:val="24"/>
          <w:szCs w:val="24"/>
          <w:lang w:val="en-GB"/>
        </w:rPr>
        <w:t xml:space="preserve"> growth of</w:t>
      </w:r>
      <w:r w:rsidR="00E3368A" w:rsidRPr="00D9330B">
        <w:rPr>
          <w:rFonts w:ascii="Times New Roman" w:hAnsi="Times New Roman" w:cs="Times New Roman"/>
          <w:sz w:val="24"/>
          <w:szCs w:val="24"/>
          <w:lang w:val="en-GB"/>
        </w:rPr>
        <w:t xml:space="preserve"> the tax burden,</w:t>
      </w:r>
      <w:r w:rsidR="007905FA" w:rsidRPr="00D9330B">
        <w:rPr>
          <w:rFonts w:ascii="Times New Roman" w:hAnsi="Times New Roman" w:cs="Times New Roman"/>
          <w:sz w:val="24"/>
          <w:szCs w:val="24"/>
          <w:lang w:val="en-GB"/>
        </w:rPr>
        <w:t xml:space="preserve"> even after the return to democracy in the 1980s and early 1990s.</w:t>
      </w:r>
    </w:p>
    <w:p w:rsidR="00E10F6B" w:rsidRPr="00D9330B" w:rsidRDefault="00E10F6B" w:rsidP="007224A2">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lastRenderedPageBreak/>
        <w:t>Chile</w:t>
      </w:r>
      <w:r w:rsidR="000561DE" w:rsidRPr="00D9330B">
        <w:rPr>
          <w:rFonts w:ascii="Times New Roman" w:hAnsi="Times New Roman" w:cs="Times New Roman"/>
          <w:sz w:val="24"/>
          <w:szCs w:val="24"/>
          <w:lang w:val="en-GB"/>
        </w:rPr>
        <w:t>, again,</w:t>
      </w:r>
      <w:r w:rsidRPr="00D9330B">
        <w:rPr>
          <w:rFonts w:ascii="Times New Roman" w:hAnsi="Times New Roman" w:cs="Times New Roman"/>
          <w:sz w:val="24"/>
          <w:szCs w:val="24"/>
          <w:lang w:val="en-GB"/>
        </w:rPr>
        <w:t xml:space="preserve"> presen</w:t>
      </w:r>
      <w:r w:rsidR="00040981" w:rsidRPr="00D9330B">
        <w:rPr>
          <w:rFonts w:ascii="Times New Roman" w:hAnsi="Times New Roman" w:cs="Times New Roman"/>
          <w:sz w:val="24"/>
          <w:szCs w:val="24"/>
          <w:lang w:val="en-GB"/>
        </w:rPr>
        <w:t>ts the clearest example</w:t>
      </w:r>
      <w:r w:rsidRPr="00D9330B">
        <w:rPr>
          <w:rFonts w:ascii="Times New Roman" w:hAnsi="Times New Roman" w:cs="Times New Roman"/>
          <w:sz w:val="24"/>
          <w:szCs w:val="24"/>
          <w:lang w:val="en-GB"/>
        </w:rPr>
        <w:t>. The country’s labour</w:t>
      </w:r>
      <w:r w:rsidR="00CE0E4C" w:rsidRPr="00D9330B">
        <w:rPr>
          <w:rFonts w:ascii="Times New Roman" w:hAnsi="Times New Roman" w:cs="Times New Roman"/>
          <w:sz w:val="24"/>
          <w:szCs w:val="24"/>
          <w:lang w:val="en-GB"/>
        </w:rPr>
        <w:t xml:space="preserve"> movement</w:t>
      </w:r>
      <w:r w:rsidRPr="00D9330B">
        <w:rPr>
          <w:rFonts w:ascii="Times New Roman" w:hAnsi="Times New Roman" w:cs="Times New Roman"/>
          <w:sz w:val="24"/>
          <w:szCs w:val="24"/>
          <w:lang w:val="en-GB"/>
        </w:rPr>
        <w:t xml:space="preserve"> was </w:t>
      </w:r>
      <w:r w:rsidR="00D77C02" w:rsidRPr="00D9330B">
        <w:rPr>
          <w:rFonts w:ascii="Times New Roman" w:hAnsi="Times New Roman" w:cs="Times New Roman"/>
          <w:sz w:val="24"/>
          <w:szCs w:val="24"/>
          <w:lang w:val="en-GB"/>
        </w:rPr>
        <w:t>devastat</w:t>
      </w:r>
      <w:r w:rsidR="00E759CB">
        <w:rPr>
          <w:rFonts w:ascii="Times New Roman" w:hAnsi="Times New Roman" w:cs="Times New Roman"/>
          <w:sz w:val="24"/>
          <w:szCs w:val="24"/>
          <w:lang w:val="en-GB"/>
        </w:rPr>
        <w:t>ed by repression, deindustrialis</w:t>
      </w:r>
      <w:r w:rsidR="00D77C02" w:rsidRPr="00D9330B">
        <w:rPr>
          <w:rFonts w:ascii="Times New Roman" w:hAnsi="Times New Roman" w:cs="Times New Roman"/>
          <w:sz w:val="24"/>
          <w:szCs w:val="24"/>
          <w:lang w:val="en-GB"/>
        </w:rPr>
        <w:t>ation</w:t>
      </w:r>
      <w:r w:rsidR="00CE0E4C" w:rsidRPr="00D9330B">
        <w:rPr>
          <w:rFonts w:ascii="Times New Roman" w:hAnsi="Times New Roman" w:cs="Times New Roman"/>
          <w:sz w:val="24"/>
          <w:szCs w:val="24"/>
          <w:lang w:val="en-GB"/>
        </w:rPr>
        <w:t xml:space="preserve"> and privatisation</w:t>
      </w:r>
      <w:r w:rsidRPr="00D9330B">
        <w:rPr>
          <w:rFonts w:ascii="Times New Roman" w:hAnsi="Times New Roman" w:cs="Times New Roman"/>
          <w:sz w:val="24"/>
          <w:szCs w:val="24"/>
          <w:lang w:val="en-GB"/>
        </w:rPr>
        <w:t>.</w:t>
      </w:r>
      <w:r w:rsidR="007905FA" w:rsidRPr="00D9330B">
        <w:rPr>
          <w:rFonts w:ascii="Times New Roman" w:hAnsi="Times New Roman" w:cs="Times New Roman"/>
          <w:sz w:val="24"/>
          <w:szCs w:val="24"/>
          <w:lang w:val="en-GB"/>
        </w:rPr>
        <w:t xml:space="preserve"> Democracy</w:t>
      </w:r>
      <w:r w:rsidR="00CE0E4C" w:rsidRPr="00D9330B">
        <w:rPr>
          <w:rFonts w:ascii="Times New Roman" w:hAnsi="Times New Roman" w:cs="Times New Roman"/>
          <w:sz w:val="24"/>
          <w:szCs w:val="24"/>
          <w:lang w:val="en-GB"/>
        </w:rPr>
        <w:t xml:space="preserve"> brought only a partial</w:t>
      </w:r>
      <w:r w:rsidR="00D77C02" w:rsidRPr="00D9330B">
        <w:rPr>
          <w:rFonts w:ascii="Times New Roman" w:hAnsi="Times New Roman" w:cs="Times New Roman"/>
          <w:sz w:val="24"/>
          <w:szCs w:val="24"/>
          <w:lang w:val="en-GB"/>
        </w:rPr>
        <w:t xml:space="preserve"> recover</w:t>
      </w:r>
      <w:r w:rsidR="00C0396B" w:rsidRPr="00D9330B">
        <w:rPr>
          <w:rFonts w:ascii="Times New Roman" w:hAnsi="Times New Roman" w:cs="Times New Roman"/>
          <w:sz w:val="24"/>
          <w:szCs w:val="24"/>
          <w:lang w:val="en-GB"/>
        </w:rPr>
        <w:t>y</w:t>
      </w:r>
      <w:r w:rsidR="00D77C02" w:rsidRPr="00D9330B">
        <w:rPr>
          <w:rFonts w:ascii="Times New Roman" w:hAnsi="Times New Roman" w:cs="Times New Roman"/>
          <w:sz w:val="24"/>
          <w:szCs w:val="24"/>
          <w:lang w:val="en-GB"/>
        </w:rPr>
        <w:t>.</w:t>
      </w:r>
      <w:r w:rsidR="00803C8A" w:rsidRPr="00D9330B">
        <w:rPr>
          <w:rStyle w:val="FootnoteReference"/>
          <w:rFonts w:ascii="Times New Roman" w:hAnsi="Times New Roman" w:cs="Times New Roman"/>
          <w:sz w:val="24"/>
          <w:szCs w:val="24"/>
          <w:lang w:val="en-GB"/>
        </w:rPr>
        <w:footnoteReference w:id="86"/>
      </w:r>
      <w:r w:rsidRPr="00D9330B">
        <w:rPr>
          <w:rFonts w:ascii="Times New Roman" w:hAnsi="Times New Roman" w:cs="Times New Roman"/>
          <w:sz w:val="24"/>
          <w:szCs w:val="24"/>
          <w:lang w:val="en-GB"/>
        </w:rPr>
        <w:t xml:space="preserve"> Un</w:t>
      </w:r>
      <w:r w:rsidR="00CE0E4C" w:rsidRPr="00D9330B">
        <w:rPr>
          <w:rFonts w:ascii="Times New Roman" w:hAnsi="Times New Roman" w:cs="Times New Roman"/>
          <w:sz w:val="24"/>
          <w:szCs w:val="24"/>
          <w:lang w:val="en-GB"/>
        </w:rPr>
        <w:t>ion density since the 1990</w:t>
      </w:r>
      <w:r w:rsidRPr="00D9330B">
        <w:rPr>
          <w:rFonts w:ascii="Times New Roman" w:hAnsi="Times New Roman" w:cs="Times New Roman"/>
          <w:sz w:val="24"/>
          <w:szCs w:val="24"/>
          <w:lang w:val="en-GB"/>
        </w:rPr>
        <w:t xml:space="preserve"> transit</w:t>
      </w:r>
      <w:r w:rsidR="00CE0E4C" w:rsidRPr="00D9330B">
        <w:rPr>
          <w:rFonts w:ascii="Times New Roman" w:hAnsi="Times New Roman" w:cs="Times New Roman"/>
          <w:sz w:val="24"/>
          <w:szCs w:val="24"/>
          <w:lang w:val="en-GB"/>
        </w:rPr>
        <w:t>ion</w:t>
      </w:r>
      <w:r w:rsidRPr="00D9330B">
        <w:rPr>
          <w:rFonts w:ascii="Times New Roman" w:hAnsi="Times New Roman" w:cs="Times New Roman"/>
          <w:sz w:val="24"/>
          <w:szCs w:val="24"/>
          <w:lang w:val="en-GB"/>
        </w:rPr>
        <w:t xml:space="preserve"> has</w:t>
      </w:r>
      <w:r w:rsidR="00803C8A" w:rsidRPr="00D9330B">
        <w:rPr>
          <w:rFonts w:ascii="Times New Roman" w:hAnsi="Times New Roman" w:cs="Times New Roman"/>
          <w:sz w:val="24"/>
          <w:szCs w:val="24"/>
          <w:lang w:val="en-GB"/>
        </w:rPr>
        <w:t xml:space="preserve"> remained below</w:t>
      </w:r>
      <w:r w:rsidR="0032544C">
        <w:rPr>
          <w:rFonts w:ascii="Times New Roman" w:hAnsi="Times New Roman" w:cs="Times New Roman"/>
          <w:sz w:val="24"/>
          <w:szCs w:val="24"/>
          <w:lang w:val="en-GB"/>
        </w:rPr>
        <w:t xml:space="preserve"> ten</w:t>
      </w:r>
      <w:r w:rsidR="00813D7E" w:rsidRPr="00D9330B">
        <w:rPr>
          <w:rFonts w:ascii="Times New Roman" w:hAnsi="Times New Roman" w:cs="Times New Roman"/>
          <w:sz w:val="24"/>
          <w:szCs w:val="24"/>
          <w:lang w:val="en-GB"/>
        </w:rPr>
        <w:t xml:space="preserve"> per</w:t>
      </w:r>
      <w:r w:rsidR="0032544C">
        <w:rPr>
          <w:rFonts w:ascii="Times New Roman" w:hAnsi="Times New Roman" w:cs="Times New Roman"/>
          <w:sz w:val="24"/>
          <w:szCs w:val="24"/>
          <w:lang w:val="en-GB"/>
        </w:rPr>
        <w:t xml:space="preserve"> </w:t>
      </w:r>
      <w:r w:rsidR="00813D7E" w:rsidRPr="00D9330B">
        <w:rPr>
          <w:rFonts w:ascii="Times New Roman" w:hAnsi="Times New Roman" w:cs="Times New Roman"/>
          <w:sz w:val="24"/>
          <w:szCs w:val="24"/>
          <w:lang w:val="en-GB"/>
        </w:rPr>
        <w:t>cent</w:t>
      </w:r>
      <w:r w:rsidRPr="00D9330B">
        <w:rPr>
          <w:rFonts w:ascii="Times New Roman" w:hAnsi="Times New Roman" w:cs="Times New Roman"/>
          <w:sz w:val="24"/>
          <w:szCs w:val="24"/>
          <w:lang w:val="en-GB"/>
        </w:rPr>
        <w:t>. A nominally centre-left coalition</w:t>
      </w:r>
      <w:r w:rsidR="007224A2" w:rsidRPr="00D9330B">
        <w:rPr>
          <w:rFonts w:ascii="Times New Roman" w:hAnsi="Times New Roman" w:cs="Times New Roman"/>
          <w:sz w:val="24"/>
          <w:szCs w:val="24"/>
          <w:lang w:val="en-GB"/>
        </w:rPr>
        <w:t xml:space="preserve"> </w:t>
      </w:r>
      <w:r w:rsidR="00C0396B" w:rsidRPr="00D9330B">
        <w:rPr>
          <w:rFonts w:ascii="Times New Roman" w:hAnsi="Times New Roman" w:cs="Times New Roman"/>
          <w:sz w:val="24"/>
          <w:szCs w:val="24"/>
          <w:lang w:val="en-GB"/>
        </w:rPr>
        <w:t>has governed</w:t>
      </w:r>
      <w:r w:rsidRPr="00D9330B">
        <w:rPr>
          <w:rFonts w:ascii="Times New Roman" w:hAnsi="Times New Roman" w:cs="Times New Roman"/>
          <w:sz w:val="24"/>
          <w:szCs w:val="24"/>
          <w:lang w:val="en-GB"/>
        </w:rPr>
        <w:t xml:space="preserve"> for all but four ye</w:t>
      </w:r>
      <w:r w:rsidR="007224A2" w:rsidRPr="00D9330B">
        <w:rPr>
          <w:rFonts w:ascii="Times New Roman" w:hAnsi="Times New Roman" w:cs="Times New Roman"/>
          <w:sz w:val="24"/>
          <w:szCs w:val="24"/>
          <w:lang w:val="en-GB"/>
        </w:rPr>
        <w:t xml:space="preserve">ars, but </w:t>
      </w:r>
      <w:r w:rsidR="000515BA" w:rsidRPr="00D9330B">
        <w:rPr>
          <w:rFonts w:ascii="Times New Roman" w:hAnsi="Times New Roman" w:cs="Times New Roman"/>
          <w:sz w:val="24"/>
          <w:szCs w:val="24"/>
          <w:lang w:val="en-GB"/>
        </w:rPr>
        <w:t>that coalition came</w:t>
      </w:r>
      <w:r w:rsidR="00D77C02" w:rsidRPr="00D9330B">
        <w:rPr>
          <w:rFonts w:ascii="Times New Roman" w:hAnsi="Times New Roman" w:cs="Times New Roman"/>
          <w:sz w:val="24"/>
          <w:szCs w:val="24"/>
          <w:lang w:val="en-GB"/>
        </w:rPr>
        <w:t xml:space="preserve"> t</w:t>
      </w:r>
      <w:r w:rsidR="007224A2" w:rsidRPr="00D9330B">
        <w:rPr>
          <w:rFonts w:ascii="Times New Roman" w:hAnsi="Times New Roman" w:cs="Times New Roman"/>
          <w:sz w:val="24"/>
          <w:szCs w:val="24"/>
          <w:lang w:val="en-GB"/>
        </w:rPr>
        <w:t>o power through an unwritten</w:t>
      </w:r>
      <w:r w:rsidR="00D77C02" w:rsidRPr="00D9330B">
        <w:rPr>
          <w:rFonts w:ascii="Times New Roman" w:hAnsi="Times New Roman" w:cs="Times New Roman"/>
          <w:sz w:val="24"/>
          <w:szCs w:val="24"/>
          <w:lang w:val="en-GB"/>
        </w:rPr>
        <w:t xml:space="preserve"> pact</w:t>
      </w:r>
      <w:r w:rsidR="007224A2" w:rsidRPr="00D9330B">
        <w:rPr>
          <w:rFonts w:ascii="Times New Roman" w:hAnsi="Times New Roman" w:cs="Times New Roman"/>
          <w:sz w:val="24"/>
          <w:szCs w:val="24"/>
          <w:lang w:val="en-GB"/>
        </w:rPr>
        <w:t xml:space="preserve"> in which its leaders</w:t>
      </w:r>
      <w:r w:rsidR="00D77C02" w:rsidRPr="00D9330B">
        <w:rPr>
          <w:rFonts w:ascii="Times New Roman" w:hAnsi="Times New Roman" w:cs="Times New Roman"/>
          <w:sz w:val="24"/>
          <w:szCs w:val="24"/>
          <w:lang w:val="en-GB"/>
        </w:rPr>
        <w:t xml:space="preserve"> pledged to maintain the</w:t>
      </w:r>
      <w:r w:rsidR="007224A2" w:rsidRPr="00D9330B">
        <w:rPr>
          <w:rFonts w:ascii="Times New Roman" w:hAnsi="Times New Roman" w:cs="Times New Roman"/>
          <w:sz w:val="24"/>
          <w:szCs w:val="24"/>
          <w:lang w:val="en-GB"/>
        </w:rPr>
        <w:t xml:space="preserve"> free market</w:t>
      </w:r>
      <w:r w:rsidR="00CF7175" w:rsidRPr="00D9330B">
        <w:rPr>
          <w:rFonts w:ascii="Times New Roman" w:hAnsi="Times New Roman" w:cs="Times New Roman"/>
          <w:sz w:val="24"/>
          <w:szCs w:val="24"/>
          <w:lang w:val="en-GB"/>
        </w:rPr>
        <w:t xml:space="preserve"> model</w:t>
      </w:r>
      <w:r w:rsidR="006E40A0" w:rsidRPr="00D9330B">
        <w:rPr>
          <w:rFonts w:ascii="Times New Roman" w:hAnsi="Times New Roman" w:cs="Times New Roman"/>
          <w:sz w:val="24"/>
          <w:szCs w:val="24"/>
          <w:lang w:val="en-GB"/>
        </w:rPr>
        <w:t xml:space="preserve"> established under military rule</w:t>
      </w:r>
      <w:r w:rsidR="007224A2" w:rsidRPr="00D9330B">
        <w:rPr>
          <w:rFonts w:ascii="Times New Roman" w:hAnsi="Times New Roman" w:cs="Times New Roman"/>
          <w:sz w:val="24"/>
          <w:szCs w:val="24"/>
          <w:lang w:val="en-GB"/>
        </w:rPr>
        <w:t xml:space="preserve"> and it has largely fulfilled</w:t>
      </w:r>
      <w:r w:rsidR="00872379" w:rsidRPr="00D9330B">
        <w:rPr>
          <w:rFonts w:ascii="Times New Roman" w:hAnsi="Times New Roman" w:cs="Times New Roman"/>
          <w:sz w:val="24"/>
          <w:szCs w:val="24"/>
          <w:lang w:val="en-GB"/>
        </w:rPr>
        <w:t xml:space="preserve"> that commitment.</w:t>
      </w:r>
      <w:r w:rsidR="00AB21C9" w:rsidRPr="00D9330B">
        <w:rPr>
          <w:rStyle w:val="FootnoteReference"/>
          <w:rFonts w:ascii="Times New Roman" w:hAnsi="Times New Roman" w:cs="Times New Roman"/>
          <w:sz w:val="24"/>
          <w:szCs w:val="24"/>
          <w:lang w:val="en-GB"/>
        </w:rPr>
        <w:footnoteReference w:id="87"/>
      </w:r>
      <w:r w:rsidR="00872379" w:rsidRPr="00D9330B">
        <w:rPr>
          <w:rFonts w:ascii="Times New Roman" w:hAnsi="Times New Roman" w:cs="Times New Roman"/>
          <w:sz w:val="24"/>
          <w:szCs w:val="24"/>
          <w:lang w:val="en-GB"/>
        </w:rPr>
        <w:t xml:space="preserve"> The governments of the </w:t>
      </w:r>
      <w:proofErr w:type="spellStart"/>
      <w:r w:rsidR="00872379" w:rsidRPr="00D9330B">
        <w:rPr>
          <w:rFonts w:ascii="Times New Roman" w:hAnsi="Times New Roman" w:cs="Times New Roman"/>
          <w:i/>
          <w:sz w:val="24"/>
          <w:szCs w:val="24"/>
          <w:lang w:val="en-GB"/>
        </w:rPr>
        <w:t>Concertacion</w:t>
      </w:r>
      <w:proofErr w:type="spellEnd"/>
      <w:r w:rsidR="00872379" w:rsidRPr="00D9330B">
        <w:rPr>
          <w:rFonts w:ascii="Times New Roman" w:hAnsi="Times New Roman" w:cs="Times New Roman"/>
          <w:sz w:val="24"/>
          <w:szCs w:val="24"/>
          <w:lang w:val="en-GB"/>
        </w:rPr>
        <w:t xml:space="preserve"> used</w:t>
      </w:r>
      <w:r w:rsidR="00CE0E4C" w:rsidRPr="00D9330B">
        <w:rPr>
          <w:rFonts w:ascii="Times New Roman" w:hAnsi="Times New Roman" w:cs="Times New Roman"/>
          <w:sz w:val="24"/>
          <w:szCs w:val="24"/>
          <w:lang w:val="en-GB"/>
        </w:rPr>
        <w:t xml:space="preserve"> targeted social spending to reduce poverty, but the</w:t>
      </w:r>
      <w:r w:rsidR="007224A2" w:rsidRPr="00D9330B">
        <w:rPr>
          <w:rFonts w:ascii="Times New Roman" w:hAnsi="Times New Roman" w:cs="Times New Roman"/>
          <w:sz w:val="24"/>
          <w:szCs w:val="24"/>
          <w:lang w:val="en-GB"/>
        </w:rPr>
        <w:t xml:space="preserve"> political consensus regarding the economic model</w:t>
      </w:r>
      <w:r w:rsidR="00483256">
        <w:rPr>
          <w:rFonts w:ascii="Times New Roman" w:hAnsi="Times New Roman" w:cs="Times New Roman"/>
          <w:sz w:val="24"/>
          <w:szCs w:val="24"/>
          <w:lang w:val="en-GB"/>
        </w:rPr>
        <w:t xml:space="preserve"> (especially among business elites)</w:t>
      </w:r>
      <w:r w:rsidR="007224A2" w:rsidRPr="00D9330B">
        <w:rPr>
          <w:rFonts w:ascii="Times New Roman" w:hAnsi="Times New Roman" w:cs="Times New Roman"/>
          <w:sz w:val="24"/>
          <w:szCs w:val="24"/>
          <w:lang w:val="en-GB"/>
        </w:rPr>
        <w:t>, combined with the</w:t>
      </w:r>
      <w:r w:rsidR="00CE0E4C" w:rsidRPr="00D9330B">
        <w:rPr>
          <w:rFonts w:ascii="Times New Roman" w:hAnsi="Times New Roman" w:cs="Times New Roman"/>
          <w:sz w:val="24"/>
          <w:szCs w:val="24"/>
          <w:lang w:val="en-GB"/>
        </w:rPr>
        <w:t xml:space="preserve"> w</w:t>
      </w:r>
      <w:r w:rsidR="00012A1A" w:rsidRPr="00D9330B">
        <w:rPr>
          <w:rFonts w:ascii="Times New Roman" w:hAnsi="Times New Roman" w:cs="Times New Roman"/>
          <w:sz w:val="24"/>
          <w:szCs w:val="24"/>
          <w:lang w:val="en-GB"/>
        </w:rPr>
        <w:t>eakness of labour</w:t>
      </w:r>
      <w:r w:rsidR="007224A2" w:rsidRPr="00D9330B">
        <w:rPr>
          <w:rFonts w:ascii="Times New Roman" w:hAnsi="Times New Roman" w:cs="Times New Roman"/>
          <w:sz w:val="24"/>
          <w:szCs w:val="24"/>
          <w:lang w:val="en-GB"/>
        </w:rPr>
        <w:t>,</w:t>
      </w:r>
      <w:r w:rsidR="00316421">
        <w:rPr>
          <w:rFonts w:ascii="Times New Roman" w:hAnsi="Times New Roman" w:cs="Times New Roman"/>
          <w:sz w:val="24"/>
          <w:szCs w:val="24"/>
          <w:lang w:val="en-GB"/>
        </w:rPr>
        <w:t xml:space="preserve"> </w:t>
      </w:r>
      <w:proofErr w:type="gramStart"/>
      <w:r w:rsidR="00316421">
        <w:rPr>
          <w:rFonts w:ascii="Times New Roman" w:hAnsi="Times New Roman" w:cs="Times New Roman"/>
          <w:sz w:val="24"/>
          <w:szCs w:val="24"/>
          <w:lang w:val="en-GB"/>
        </w:rPr>
        <w:t>led</w:t>
      </w:r>
      <w:proofErr w:type="gramEnd"/>
      <w:r w:rsidR="00CE0E4C" w:rsidRPr="00D9330B">
        <w:rPr>
          <w:rFonts w:ascii="Times New Roman" w:hAnsi="Times New Roman" w:cs="Times New Roman"/>
          <w:sz w:val="24"/>
          <w:szCs w:val="24"/>
          <w:lang w:val="en-GB"/>
        </w:rPr>
        <w:t xml:space="preserve"> them</w:t>
      </w:r>
      <w:r w:rsidR="00316421">
        <w:rPr>
          <w:rFonts w:ascii="Times New Roman" w:hAnsi="Times New Roman" w:cs="Times New Roman"/>
          <w:sz w:val="24"/>
          <w:szCs w:val="24"/>
          <w:lang w:val="en-GB"/>
        </w:rPr>
        <w:t xml:space="preserve"> to</w:t>
      </w:r>
      <w:r w:rsidR="00CE0E4C" w:rsidRPr="00D9330B">
        <w:rPr>
          <w:rFonts w:ascii="Times New Roman" w:hAnsi="Times New Roman" w:cs="Times New Roman"/>
          <w:sz w:val="24"/>
          <w:szCs w:val="24"/>
          <w:lang w:val="en-GB"/>
        </w:rPr>
        <w:t xml:space="preserve"> avoid more expensive measures.</w:t>
      </w:r>
      <w:r w:rsidR="00483256">
        <w:rPr>
          <w:rStyle w:val="FootnoteReference"/>
          <w:rFonts w:ascii="Times New Roman" w:hAnsi="Times New Roman" w:cs="Times New Roman"/>
          <w:sz w:val="24"/>
          <w:szCs w:val="24"/>
          <w:lang w:val="en-GB"/>
        </w:rPr>
        <w:footnoteReference w:id="88"/>
      </w:r>
      <w:r w:rsidR="00E3368A" w:rsidRPr="00D9330B">
        <w:rPr>
          <w:rFonts w:ascii="Times New Roman" w:hAnsi="Times New Roman" w:cs="Times New Roman"/>
          <w:sz w:val="24"/>
          <w:szCs w:val="24"/>
          <w:lang w:val="en-GB"/>
        </w:rPr>
        <w:t xml:space="preserve"> In a quarter century since the 1990 transition the tax burden has increased by only 2-3 per</w:t>
      </w:r>
      <w:r w:rsidR="000A48DA">
        <w:rPr>
          <w:rFonts w:ascii="Times New Roman" w:hAnsi="Times New Roman" w:cs="Times New Roman"/>
          <w:sz w:val="24"/>
          <w:szCs w:val="24"/>
          <w:lang w:val="en-GB"/>
        </w:rPr>
        <w:t xml:space="preserve"> </w:t>
      </w:r>
      <w:r w:rsidR="00E3368A" w:rsidRPr="00D9330B">
        <w:rPr>
          <w:rFonts w:ascii="Times New Roman" w:hAnsi="Times New Roman" w:cs="Times New Roman"/>
          <w:sz w:val="24"/>
          <w:szCs w:val="24"/>
          <w:lang w:val="en-GB"/>
        </w:rPr>
        <w:t>cent</w:t>
      </w:r>
      <w:r w:rsidR="007224A2" w:rsidRPr="00D9330B">
        <w:rPr>
          <w:rFonts w:ascii="Times New Roman" w:hAnsi="Times New Roman" w:cs="Times New Roman"/>
          <w:sz w:val="24"/>
          <w:szCs w:val="24"/>
          <w:lang w:val="en-GB"/>
        </w:rPr>
        <w:t xml:space="preserve"> of GDP</w:t>
      </w:r>
      <w:r w:rsidR="00957690" w:rsidRPr="00D9330B">
        <w:rPr>
          <w:rFonts w:ascii="Times New Roman" w:hAnsi="Times New Roman" w:cs="Times New Roman"/>
          <w:sz w:val="24"/>
          <w:szCs w:val="24"/>
          <w:lang w:val="en-GB"/>
        </w:rPr>
        <w:t>.</w:t>
      </w:r>
    </w:p>
    <w:p w:rsidR="00DD2BBB" w:rsidRPr="00D9330B" w:rsidRDefault="00186C79" w:rsidP="006A78DD">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Similarly, the</w:t>
      </w:r>
      <w:r w:rsidR="00B822C4" w:rsidRPr="00D9330B">
        <w:rPr>
          <w:rFonts w:ascii="Times New Roman" w:hAnsi="Times New Roman" w:cs="Times New Roman"/>
          <w:sz w:val="24"/>
          <w:szCs w:val="24"/>
          <w:lang w:val="en-GB"/>
        </w:rPr>
        <w:t xml:space="preserve"> liberalisation</w:t>
      </w:r>
      <w:r w:rsidR="000515BA" w:rsidRPr="00D9330B">
        <w:rPr>
          <w:rFonts w:ascii="Times New Roman" w:hAnsi="Times New Roman" w:cs="Times New Roman"/>
          <w:sz w:val="24"/>
          <w:szCs w:val="24"/>
          <w:lang w:val="en-GB"/>
        </w:rPr>
        <w:t xml:space="preserve"> policies</w:t>
      </w:r>
      <w:r w:rsidR="006A78DD" w:rsidRPr="00D9330B">
        <w:rPr>
          <w:rFonts w:ascii="Times New Roman" w:hAnsi="Times New Roman" w:cs="Times New Roman"/>
          <w:sz w:val="24"/>
          <w:szCs w:val="24"/>
          <w:lang w:val="en-GB"/>
        </w:rPr>
        <w:t xml:space="preserve"> of Argentina’s</w:t>
      </w:r>
      <w:r w:rsidRPr="00D9330B">
        <w:rPr>
          <w:rFonts w:ascii="Times New Roman" w:hAnsi="Times New Roman" w:cs="Times New Roman"/>
          <w:sz w:val="24"/>
          <w:szCs w:val="24"/>
          <w:lang w:val="en-GB"/>
        </w:rPr>
        <w:t xml:space="preserve"> 1976-1983</w:t>
      </w:r>
      <w:r w:rsidR="000515BA" w:rsidRPr="00D9330B">
        <w:rPr>
          <w:rFonts w:ascii="Times New Roman" w:hAnsi="Times New Roman" w:cs="Times New Roman"/>
          <w:sz w:val="24"/>
          <w:szCs w:val="24"/>
          <w:lang w:val="en-GB"/>
        </w:rPr>
        <w:t xml:space="preserve"> </w:t>
      </w:r>
      <w:r w:rsidR="00C46F2D" w:rsidRPr="00D9330B">
        <w:rPr>
          <w:rFonts w:ascii="Times New Roman" w:hAnsi="Times New Roman" w:cs="Times New Roman"/>
          <w:sz w:val="24"/>
          <w:szCs w:val="24"/>
          <w:lang w:val="en-GB"/>
        </w:rPr>
        <w:t>dictatorship</w:t>
      </w:r>
      <w:r w:rsidR="005F6934" w:rsidRPr="00D9330B">
        <w:rPr>
          <w:rFonts w:ascii="Times New Roman" w:hAnsi="Times New Roman" w:cs="Times New Roman"/>
          <w:sz w:val="24"/>
          <w:szCs w:val="24"/>
          <w:lang w:val="en-GB"/>
        </w:rPr>
        <w:t xml:space="preserve"> </w:t>
      </w:r>
      <w:r w:rsidR="00832697" w:rsidRPr="00D9330B">
        <w:rPr>
          <w:rFonts w:ascii="Times New Roman" w:hAnsi="Times New Roman" w:cs="Times New Roman"/>
          <w:sz w:val="24"/>
          <w:szCs w:val="24"/>
          <w:lang w:val="en-GB"/>
        </w:rPr>
        <w:t>delivered a harsh</w:t>
      </w:r>
      <w:r w:rsidR="005F6934" w:rsidRPr="00D9330B">
        <w:rPr>
          <w:rFonts w:ascii="Times New Roman" w:hAnsi="Times New Roman" w:cs="Times New Roman"/>
          <w:sz w:val="24"/>
          <w:szCs w:val="24"/>
          <w:lang w:val="en-GB"/>
        </w:rPr>
        <w:t xml:space="preserve"> blow to domestically-oriented</w:t>
      </w:r>
      <w:r w:rsidR="007224A2" w:rsidRPr="00D9330B">
        <w:rPr>
          <w:rFonts w:ascii="Times New Roman" w:hAnsi="Times New Roman" w:cs="Times New Roman"/>
          <w:sz w:val="24"/>
          <w:szCs w:val="24"/>
          <w:lang w:val="en-GB"/>
        </w:rPr>
        <w:t xml:space="preserve"> </w:t>
      </w:r>
      <w:r w:rsidR="005F6934" w:rsidRPr="00D9330B">
        <w:rPr>
          <w:rFonts w:ascii="Times New Roman" w:hAnsi="Times New Roman" w:cs="Times New Roman"/>
          <w:sz w:val="24"/>
          <w:szCs w:val="24"/>
          <w:lang w:val="en-GB"/>
        </w:rPr>
        <w:t>industries</w:t>
      </w:r>
      <w:r w:rsidR="007224A2" w:rsidRPr="00D9330B">
        <w:rPr>
          <w:rFonts w:ascii="Times New Roman" w:hAnsi="Times New Roman" w:cs="Times New Roman"/>
          <w:sz w:val="24"/>
          <w:szCs w:val="24"/>
          <w:lang w:val="en-GB"/>
        </w:rPr>
        <w:t xml:space="preserve"> and </w:t>
      </w:r>
      <w:r w:rsidR="006D79FB" w:rsidRPr="00D9330B">
        <w:rPr>
          <w:rFonts w:ascii="Times New Roman" w:hAnsi="Times New Roman" w:cs="Times New Roman"/>
          <w:sz w:val="24"/>
          <w:szCs w:val="24"/>
          <w:lang w:val="en-GB"/>
        </w:rPr>
        <w:t>associated</w:t>
      </w:r>
      <w:r w:rsidR="00832697" w:rsidRPr="00D9330B">
        <w:rPr>
          <w:rFonts w:ascii="Times New Roman" w:hAnsi="Times New Roman" w:cs="Times New Roman"/>
          <w:sz w:val="24"/>
          <w:szCs w:val="24"/>
          <w:lang w:val="en-GB"/>
        </w:rPr>
        <w:t xml:space="preserve"> la</w:t>
      </w:r>
      <w:r w:rsidR="006D79FB" w:rsidRPr="00D9330B">
        <w:rPr>
          <w:rFonts w:ascii="Times New Roman" w:hAnsi="Times New Roman" w:cs="Times New Roman"/>
          <w:sz w:val="24"/>
          <w:szCs w:val="24"/>
          <w:lang w:val="en-GB"/>
        </w:rPr>
        <w:t>bour unions</w:t>
      </w:r>
      <w:r w:rsidR="00832697" w:rsidRPr="00D9330B">
        <w:rPr>
          <w:rFonts w:ascii="Times New Roman" w:hAnsi="Times New Roman" w:cs="Times New Roman"/>
          <w:sz w:val="24"/>
          <w:szCs w:val="24"/>
          <w:lang w:val="en-GB"/>
        </w:rPr>
        <w:t>.</w:t>
      </w:r>
      <w:r w:rsidR="00832697" w:rsidRPr="00D9330B">
        <w:rPr>
          <w:rStyle w:val="FootnoteReference"/>
          <w:rFonts w:ascii="Times New Roman" w:hAnsi="Times New Roman" w:cs="Times New Roman"/>
          <w:sz w:val="24"/>
          <w:szCs w:val="24"/>
          <w:lang w:val="en-GB"/>
        </w:rPr>
        <w:footnoteReference w:id="89"/>
      </w:r>
      <w:r w:rsidR="00B822C4" w:rsidRPr="00D9330B">
        <w:rPr>
          <w:rFonts w:ascii="Times New Roman" w:hAnsi="Times New Roman" w:cs="Times New Roman"/>
          <w:sz w:val="24"/>
          <w:szCs w:val="24"/>
          <w:lang w:val="en-GB"/>
        </w:rPr>
        <w:t xml:space="preserve"> </w:t>
      </w:r>
      <w:r w:rsidR="00832697" w:rsidRPr="00D9330B">
        <w:rPr>
          <w:rFonts w:ascii="Times New Roman" w:hAnsi="Times New Roman" w:cs="Times New Roman"/>
          <w:sz w:val="24"/>
          <w:szCs w:val="24"/>
          <w:lang w:val="en-GB"/>
        </w:rPr>
        <w:t xml:space="preserve">Although the </w:t>
      </w:r>
      <w:r w:rsidR="00832697" w:rsidRPr="00D9330B">
        <w:rPr>
          <w:rFonts w:ascii="Times New Roman" w:hAnsi="Times New Roman" w:cs="Times New Roman"/>
          <w:sz w:val="24"/>
          <w:szCs w:val="24"/>
          <w:lang w:val="en-GB"/>
        </w:rPr>
        <w:lastRenderedPageBreak/>
        <w:t xml:space="preserve">regime’s </w:t>
      </w:r>
      <w:r w:rsidR="00B822C4" w:rsidRPr="00D9330B">
        <w:rPr>
          <w:rFonts w:ascii="Times New Roman" w:hAnsi="Times New Roman" w:cs="Times New Roman"/>
          <w:sz w:val="24"/>
          <w:szCs w:val="24"/>
          <w:lang w:val="en-GB"/>
        </w:rPr>
        <w:t>repr</w:t>
      </w:r>
      <w:r w:rsidR="00832697" w:rsidRPr="00D9330B">
        <w:rPr>
          <w:rFonts w:ascii="Times New Roman" w:hAnsi="Times New Roman" w:cs="Times New Roman"/>
          <w:sz w:val="24"/>
          <w:szCs w:val="24"/>
          <w:lang w:val="en-GB"/>
        </w:rPr>
        <w:t xml:space="preserve">ession and military adventurism were </w:t>
      </w:r>
      <w:r w:rsidR="005F3A90" w:rsidRPr="00D9330B">
        <w:rPr>
          <w:rFonts w:ascii="Times New Roman" w:hAnsi="Times New Roman" w:cs="Times New Roman"/>
          <w:sz w:val="24"/>
          <w:szCs w:val="24"/>
          <w:lang w:val="en-GB"/>
        </w:rPr>
        <w:t>eventually rejected by</w:t>
      </w:r>
      <w:r w:rsidR="00832697" w:rsidRPr="00D9330B">
        <w:rPr>
          <w:rFonts w:ascii="Times New Roman" w:hAnsi="Times New Roman" w:cs="Times New Roman"/>
          <w:sz w:val="24"/>
          <w:szCs w:val="24"/>
          <w:lang w:val="en-GB"/>
        </w:rPr>
        <w:t xml:space="preserve"> society, its economic reforms initiated a long-ter</w:t>
      </w:r>
      <w:r w:rsidR="006E40A0" w:rsidRPr="00D9330B">
        <w:rPr>
          <w:rFonts w:ascii="Times New Roman" w:hAnsi="Times New Roman" w:cs="Times New Roman"/>
          <w:sz w:val="24"/>
          <w:szCs w:val="24"/>
          <w:lang w:val="en-GB"/>
        </w:rPr>
        <w:t>m transition away from import</w:t>
      </w:r>
      <w:r w:rsidR="00832697" w:rsidRPr="00D9330B">
        <w:rPr>
          <w:rFonts w:ascii="Times New Roman" w:hAnsi="Times New Roman" w:cs="Times New Roman"/>
          <w:sz w:val="24"/>
          <w:szCs w:val="24"/>
          <w:lang w:val="en-GB"/>
        </w:rPr>
        <w:t xml:space="preserve"> substitution by shifting the b</w:t>
      </w:r>
      <w:r w:rsidR="006D79FB" w:rsidRPr="00D9330B">
        <w:rPr>
          <w:rFonts w:ascii="Times New Roman" w:hAnsi="Times New Roman" w:cs="Times New Roman"/>
          <w:sz w:val="24"/>
          <w:szCs w:val="24"/>
          <w:lang w:val="en-GB"/>
        </w:rPr>
        <w:t>alance of</w:t>
      </w:r>
      <w:r w:rsidR="00832697" w:rsidRPr="00D9330B">
        <w:rPr>
          <w:rFonts w:ascii="Times New Roman" w:hAnsi="Times New Roman" w:cs="Times New Roman"/>
          <w:sz w:val="24"/>
          <w:szCs w:val="24"/>
          <w:lang w:val="en-GB"/>
        </w:rPr>
        <w:t xml:space="preserve"> power toward more interna</w:t>
      </w:r>
      <w:r w:rsidR="00571463">
        <w:rPr>
          <w:rFonts w:ascii="Times New Roman" w:hAnsi="Times New Roman" w:cs="Times New Roman"/>
          <w:sz w:val="24"/>
          <w:szCs w:val="24"/>
          <w:lang w:val="en-GB"/>
        </w:rPr>
        <w:t>tionalis</w:t>
      </w:r>
      <w:r w:rsidR="00BC2910" w:rsidRPr="00D9330B">
        <w:rPr>
          <w:rFonts w:ascii="Times New Roman" w:hAnsi="Times New Roman" w:cs="Times New Roman"/>
          <w:sz w:val="24"/>
          <w:szCs w:val="24"/>
          <w:lang w:val="en-GB"/>
        </w:rPr>
        <w:t>ed</w:t>
      </w:r>
      <w:r w:rsidR="005F6934" w:rsidRPr="00D9330B">
        <w:rPr>
          <w:rFonts w:ascii="Times New Roman" w:hAnsi="Times New Roman" w:cs="Times New Roman"/>
          <w:sz w:val="24"/>
          <w:szCs w:val="24"/>
          <w:lang w:val="en-GB"/>
        </w:rPr>
        <w:t xml:space="preserve"> business</w:t>
      </w:r>
      <w:r w:rsidR="00BC2910" w:rsidRPr="00D9330B">
        <w:rPr>
          <w:rFonts w:ascii="Times New Roman" w:hAnsi="Times New Roman" w:cs="Times New Roman"/>
          <w:sz w:val="24"/>
          <w:szCs w:val="24"/>
          <w:lang w:val="en-GB"/>
        </w:rPr>
        <w:t>es</w:t>
      </w:r>
      <w:r w:rsidR="005F6934" w:rsidRPr="00D9330B">
        <w:rPr>
          <w:rFonts w:ascii="Times New Roman" w:hAnsi="Times New Roman" w:cs="Times New Roman"/>
          <w:sz w:val="24"/>
          <w:szCs w:val="24"/>
          <w:lang w:val="en-GB"/>
        </w:rPr>
        <w:t xml:space="preserve"> and</w:t>
      </w:r>
      <w:r w:rsidR="00832697" w:rsidRPr="00D9330B">
        <w:rPr>
          <w:rFonts w:ascii="Times New Roman" w:hAnsi="Times New Roman" w:cs="Times New Roman"/>
          <w:sz w:val="24"/>
          <w:szCs w:val="24"/>
          <w:lang w:val="en-GB"/>
        </w:rPr>
        <w:t xml:space="preserve"> weakening the </w:t>
      </w:r>
      <w:proofErr w:type="spellStart"/>
      <w:r w:rsidR="00832697" w:rsidRPr="00D9330B">
        <w:rPr>
          <w:rFonts w:ascii="Times New Roman" w:hAnsi="Times New Roman" w:cs="Times New Roman"/>
          <w:i/>
          <w:sz w:val="24"/>
          <w:szCs w:val="24"/>
          <w:lang w:val="en-GB"/>
        </w:rPr>
        <w:t>peronista</w:t>
      </w:r>
      <w:proofErr w:type="spellEnd"/>
      <w:r w:rsidR="00D04A91" w:rsidRPr="00D9330B">
        <w:rPr>
          <w:rFonts w:ascii="Times New Roman" w:hAnsi="Times New Roman" w:cs="Times New Roman"/>
          <w:sz w:val="24"/>
          <w:szCs w:val="24"/>
          <w:lang w:val="en-GB"/>
        </w:rPr>
        <w:t xml:space="preserve"> unions</w:t>
      </w:r>
      <w:r w:rsidR="005F6934" w:rsidRPr="00D9330B">
        <w:rPr>
          <w:rFonts w:ascii="Times New Roman" w:hAnsi="Times New Roman" w:cs="Times New Roman"/>
          <w:sz w:val="24"/>
          <w:szCs w:val="24"/>
          <w:lang w:val="en-GB"/>
        </w:rPr>
        <w:t>.</w:t>
      </w:r>
      <w:r w:rsidR="005F6934" w:rsidRPr="00D9330B">
        <w:rPr>
          <w:rStyle w:val="FootnoteReference"/>
          <w:rFonts w:ascii="Times New Roman" w:hAnsi="Times New Roman" w:cs="Times New Roman"/>
          <w:sz w:val="24"/>
          <w:szCs w:val="24"/>
          <w:lang w:val="en-GB"/>
        </w:rPr>
        <w:footnoteReference w:id="90"/>
      </w:r>
      <w:r w:rsidR="00832697" w:rsidRPr="00D9330B">
        <w:rPr>
          <w:rFonts w:ascii="Times New Roman" w:hAnsi="Times New Roman" w:cs="Times New Roman"/>
          <w:sz w:val="24"/>
          <w:szCs w:val="24"/>
          <w:lang w:val="en-GB"/>
        </w:rPr>
        <w:t xml:space="preserve"> </w:t>
      </w:r>
      <w:r w:rsidR="00D04A91" w:rsidRPr="00D9330B">
        <w:rPr>
          <w:rFonts w:ascii="Times New Roman" w:hAnsi="Times New Roman" w:cs="Times New Roman"/>
          <w:sz w:val="24"/>
          <w:szCs w:val="24"/>
          <w:lang w:val="en-GB"/>
        </w:rPr>
        <w:t>U</w:t>
      </w:r>
      <w:r w:rsidR="00B822C4" w:rsidRPr="00D9330B">
        <w:rPr>
          <w:rFonts w:ascii="Times New Roman" w:hAnsi="Times New Roman" w:cs="Times New Roman"/>
          <w:sz w:val="24"/>
          <w:szCs w:val="24"/>
          <w:lang w:val="en-GB"/>
        </w:rPr>
        <w:t>nion density</w:t>
      </w:r>
      <w:r w:rsidR="002A3B91" w:rsidRPr="00D9330B">
        <w:rPr>
          <w:rFonts w:ascii="Times New Roman" w:hAnsi="Times New Roman" w:cs="Times New Roman"/>
          <w:sz w:val="24"/>
          <w:szCs w:val="24"/>
          <w:lang w:val="en-GB"/>
        </w:rPr>
        <w:t xml:space="preserve"> remain</w:t>
      </w:r>
      <w:r w:rsidR="00B822C4" w:rsidRPr="00D9330B">
        <w:rPr>
          <w:rFonts w:ascii="Times New Roman" w:hAnsi="Times New Roman" w:cs="Times New Roman"/>
          <w:sz w:val="24"/>
          <w:szCs w:val="24"/>
          <w:lang w:val="en-GB"/>
        </w:rPr>
        <w:t>ed the highest</w:t>
      </w:r>
      <w:r w:rsidR="002A3B91" w:rsidRPr="00D9330B">
        <w:rPr>
          <w:rFonts w:ascii="Times New Roman" w:hAnsi="Times New Roman" w:cs="Times New Roman"/>
          <w:sz w:val="24"/>
          <w:szCs w:val="24"/>
          <w:lang w:val="en-GB"/>
        </w:rPr>
        <w:t xml:space="preserve"> i</w:t>
      </w:r>
      <w:r w:rsidR="00D04A91" w:rsidRPr="00D9330B">
        <w:rPr>
          <w:rFonts w:ascii="Times New Roman" w:hAnsi="Times New Roman" w:cs="Times New Roman"/>
          <w:sz w:val="24"/>
          <w:szCs w:val="24"/>
          <w:lang w:val="en-GB"/>
        </w:rPr>
        <w:t>n Latin America, but Argentina</w:t>
      </w:r>
      <w:r w:rsidR="00CE0E4C" w:rsidRPr="00D9330B">
        <w:rPr>
          <w:rFonts w:ascii="Times New Roman" w:hAnsi="Times New Roman" w:cs="Times New Roman"/>
          <w:sz w:val="24"/>
          <w:szCs w:val="24"/>
          <w:lang w:val="en-GB"/>
        </w:rPr>
        <w:t xml:space="preserve"> ne</w:t>
      </w:r>
      <w:r w:rsidR="00A9182F" w:rsidRPr="00D9330B">
        <w:rPr>
          <w:rFonts w:ascii="Times New Roman" w:hAnsi="Times New Roman" w:cs="Times New Roman"/>
          <w:sz w:val="24"/>
          <w:szCs w:val="24"/>
          <w:lang w:val="en-GB"/>
        </w:rPr>
        <w:t>ver returned to the levels</w:t>
      </w:r>
      <w:r w:rsidR="002A3B91" w:rsidRPr="00D9330B">
        <w:rPr>
          <w:rFonts w:ascii="Times New Roman" w:hAnsi="Times New Roman" w:cs="Times New Roman"/>
          <w:sz w:val="24"/>
          <w:szCs w:val="24"/>
          <w:lang w:val="en-GB"/>
        </w:rPr>
        <w:t xml:space="preserve"> of the pre-1976 period. </w:t>
      </w:r>
      <w:r w:rsidR="005F6934" w:rsidRPr="00D9330B">
        <w:rPr>
          <w:rFonts w:ascii="Times New Roman" w:hAnsi="Times New Roman" w:cs="Times New Roman"/>
          <w:sz w:val="24"/>
          <w:szCs w:val="24"/>
          <w:lang w:val="en-GB"/>
        </w:rPr>
        <w:t>These changes, combined with the advent of hyperinflation in the late 1980s,</w:t>
      </w:r>
      <w:r w:rsidR="00CE0E4C" w:rsidRPr="00D9330B">
        <w:rPr>
          <w:rFonts w:ascii="Times New Roman" w:hAnsi="Times New Roman" w:cs="Times New Roman"/>
          <w:sz w:val="24"/>
          <w:szCs w:val="24"/>
          <w:lang w:val="en-GB"/>
        </w:rPr>
        <w:t xml:space="preserve"> create</w:t>
      </w:r>
      <w:r w:rsidR="000515BA" w:rsidRPr="00D9330B">
        <w:rPr>
          <w:rFonts w:ascii="Times New Roman" w:hAnsi="Times New Roman" w:cs="Times New Roman"/>
          <w:sz w:val="24"/>
          <w:szCs w:val="24"/>
          <w:lang w:val="en-GB"/>
        </w:rPr>
        <w:t>d</w:t>
      </w:r>
      <w:r w:rsidR="002A3B91" w:rsidRPr="00D9330B">
        <w:rPr>
          <w:rFonts w:ascii="Times New Roman" w:hAnsi="Times New Roman" w:cs="Times New Roman"/>
          <w:sz w:val="24"/>
          <w:szCs w:val="24"/>
          <w:lang w:val="en-GB"/>
        </w:rPr>
        <w:t xml:space="preserve"> the conditions for a new round of</w:t>
      </w:r>
      <w:r w:rsidR="00CE0E4C" w:rsidRPr="00D9330B">
        <w:rPr>
          <w:rFonts w:ascii="Times New Roman" w:hAnsi="Times New Roman" w:cs="Times New Roman"/>
          <w:sz w:val="24"/>
          <w:szCs w:val="24"/>
          <w:lang w:val="en-GB"/>
        </w:rPr>
        <w:t xml:space="preserve"> </w:t>
      </w:r>
      <w:r w:rsidR="00366939" w:rsidRPr="00D9330B">
        <w:rPr>
          <w:rFonts w:ascii="Times New Roman" w:hAnsi="Times New Roman" w:cs="Times New Roman"/>
          <w:sz w:val="24"/>
          <w:szCs w:val="24"/>
          <w:lang w:val="en-GB"/>
        </w:rPr>
        <w:t>liberalisation</w:t>
      </w:r>
      <w:r w:rsidR="00CE0E4C" w:rsidRPr="00D9330B">
        <w:rPr>
          <w:rFonts w:ascii="Times New Roman" w:hAnsi="Times New Roman" w:cs="Times New Roman"/>
          <w:sz w:val="24"/>
          <w:szCs w:val="24"/>
          <w:lang w:val="en-GB"/>
        </w:rPr>
        <w:t>, including</w:t>
      </w:r>
      <w:r w:rsidR="005F6934" w:rsidRPr="00D9330B">
        <w:rPr>
          <w:rFonts w:ascii="Times New Roman" w:hAnsi="Times New Roman" w:cs="Times New Roman"/>
          <w:sz w:val="24"/>
          <w:szCs w:val="24"/>
          <w:lang w:val="en-GB"/>
        </w:rPr>
        <w:t xml:space="preserve"> tariff reduction</w:t>
      </w:r>
      <w:r w:rsidR="00622088" w:rsidRPr="00D9330B">
        <w:rPr>
          <w:rFonts w:ascii="Times New Roman" w:hAnsi="Times New Roman" w:cs="Times New Roman"/>
          <w:sz w:val="24"/>
          <w:szCs w:val="24"/>
          <w:lang w:val="en-GB"/>
        </w:rPr>
        <w:t>, privatisation of public enterprises and</w:t>
      </w:r>
      <w:r w:rsidR="002A3B91" w:rsidRPr="00D9330B">
        <w:rPr>
          <w:rFonts w:ascii="Times New Roman" w:hAnsi="Times New Roman" w:cs="Times New Roman"/>
          <w:sz w:val="24"/>
          <w:szCs w:val="24"/>
          <w:lang w:val="en-GB"/>
        </w:rPr>
        <w:t xml:space="preserve"> partial</w:t>
      </w:r>
      <w:r w:rsidR="00CE0E4C" w:rsidRPr="00D9330B">
        <w:rPr>
          <w:rFonts w:ascii="Times New Roman" w:hAnsi="Times New Roman" w:cs="Times New Roman"/>
          <w:sz w:val="24"/>
          <w:szCs w:val="24"/>
          <w:lang w:val="en-GB"/>
        </w:rPr>
        <w:t xml:space="preserve"> privatisation of social security. Ironicall</w:t>
      </w:r>
      <w:r w:rsidR="002A3B91" w:rsidRPr="00D9330B">
        <w:rPr>
          <w:rFonts w:ascii="Times New Roman" w:hAnsi="Times New Roman" w:cs="Times New Roman"/>
          <w:sz w:val="24"/>
          <w:szCs w:val="24"/>
          <w:lang w:val="en-GB"/>
        </w:rPr>
        <w:t>y, the president behind</w:t>
      </w:r>
      <w:r w:rsidR="00CE0E4C" w:rsidRPr="00D9330B">
        <w:rPr>
          <w:rFonts w:ascii="Times New Roman" w:hAnsi="Times New Roman" w:cs="Times New Roman"/>
          <w:sz w:val="24"/>
          <w:szCs w:val="24"/>
          <w:lang w:val="en-GB"/>
        </w:rPr>
        <w:t xml:space="preserve"> these reforms, Carlos Menem, was a </w:t>
      </w:r>
      <w:proofErr w:type="spellStart"/>
      <w:r w:rsidR="00CE0E4C" w:rsidRPr="00D9330B">
        <w:rPr>
          <w:rFonts w:ascii="Times New Roman" w:hAnsi="Times New Roman" w:cs="Times New Roman"/>
          <w:i/>
          <w:sz w:val="24"/>
          <w:szCs w:val="24"/>
          <w:lang w:val="en-GB"/>
        </w:rPr>
        <w:t>peronista</w:t>
      </w:r>
      <w:proofErr w:type="spellEnd"/>
      <w:r w:rsidR="002A3B91" w:rsidRPr="00D9330B">
        <w:rPr>
          <w:rFonts w:ascii="Times New Roman" w:hAnsi="Times New Roman" w:cs="Times New Roman"/>
          <w:sz w:val="24"/>
          <w:szCs w:val="24"/>
          <w:lang w:val="en-GB"/>
        </w:rPr>
        <w:t>, albeit one</w:t>
      </w:r>
      <w:r w:rsidR="00C93766">
        <w:rPr>
          <w:rFonts w:ascii="Times New Roman" w:hAnsi="Times New Roman" w:cs="Times New Roman"/>
          <w:sz w:val="24"/>
          <w:szCs w:val="24"/>
          <w:lang w:val="en-GB"/>
        </w:rPr>
        <w:t xml:space="preserve"> lacking strong</w:t>
      </w:r>
      <w:r w:rsidR="002A3B91" w:rsidRPr="00D9330B">
        <w:rPr>
          <w:rFonts w:ascii="Times New Roman" w:hAnsi="Times New Roman" w:cs="Times New Roman"/>
          <w:sz w:val="24"/>
          <w:szCs w:val="24"/>
          <w:lang w:val="en-GB"/>
        </w:rPr>
        <w:t xml:space="preserve"> ties to labour</w:t>
      </w:r>
      <w:r w:rsidR="00F54068" w:rsidRPr="00D9330B">
        <w:rPr>
          <w:rFonts w:ascii="Times New Roman" w:hAnsi="Times New Roman" w:cs="Times New Roman"/>
          <w:sz w:val="24"/>
          <w:szCs w:val="24"/>
          <w:lang w:val="en-GB"/>
        </w:rPr>
        <w:t>.</w:t>
      </w:r>
      <w:r w:rsidR="00366939" w:rsidRPr="00D9330B">
        <w:rPr>
          <w:rFonts w:ascii="Times New Roman" w:hAnsi="Times New Roman" w:cs="Times New Roman"/>
          <w:sz w:val="24"/>
          <w:szCs w:val="24"/>
          <w:lang w:val="en-GB"/>
        </w:rPr>
        <w:t xml:space="preserve"> Tax</w:t>
      </w:r>
      <w:r w:rsidR="00F14DB2" w:rsidRPr="00D9330B">
        <w:rPr>
          <w:rFonts w:ascii="Times New Roman" w:hAnsi="Times New Roman" w:cs="Times New Roman"/>
          <w:sz w:val="24"/>
          <w:szCs w:val="24"/>
          <w:lang w:val="en-GB"/>
        </w:rPr>
        <w:t xml:space="preserve"> revenues</w:t>
      </w:r>
      <w:r w:rsidR="002A3B91" w:rsidRPr="00D9330B">
        <w:rPr>
          <w:rFonts w:ascii="Times New Roman" w:hAnsi="Times New Roman" w:cs="Times New Roman"/>
          <w:sz w:val="24"/>
          <w:szCs w:val="24"/>
          <w:lang w:val="en-GB"/>
        </w:rPr>
        <w:t xml:space="preserve"> initially rose as p</w:t>
      </w:r>
      <w:r w:rsidR="00571463">
        <w:rPr>
          <w:rFonts w:ascii="Times New Roman" w:hAnsi="Times New Roman" w:cs="Times New Roman"/>
          <w:sz w:val="24"/>
          <w:szCs w:val="24"/>
          <w:lang w:val="en-GB"/>
        </w:rPr>
        <w:t>art of the government’s stabilis</w:t>
      </w:r>
      <w:r w:rsidR="002A3B91" w:rsidRPr="00D9330B">
        <w:rPr>
          <w:rFonts w:ascii="Times New Roman" w:hAnsi="Times New Roman" w:cs="Times New Roman"/>
          <w:sz w:val="24"/>
          <w:szCs w:val="24"/>
          <w:lang w:val="en-GB"/>
        </w:rPr>
        <w:t>ation</w:t>
      </w:r>
      <w:r w:rsidR="00957690" w:rsidRPr="00D9330B">
        <w:rPr>
          <w:rFonts w:ascii="Times New Roman" w:hAnsi="Times New Roman" w:cs="Times New Roman"/>
          <w:sz w:val="24"/>
          <w:szCs w:val="24"/>
          <w:lang w:val="en-GB"/>
        </w:rPr>
        <w:t xml:space="preserve"> efforts</w:t>
      </w:r>
      <w:r w:rsidR="008D7FD2" w:rsidRPr="00D9330B">
        <w:rPr>
          <w:rFonts w:ascii="Times New Roman" w:hAnsi="Times New Roman" w:cs="Times New Roman"/>
          <w:sz w:val="24"/>
          <w:szCs w:val="24"/>
          <w:lang w:val="en-GB"/>
        </w:rPr>
        <w:t>, but</w:t>
      </w:r>
      <w:r w:rsidR="00366939" w:rsidRPr="00D9330B">
        <w:rPr>
          <w:rFonts w:ascii="Times New Roman" w:hAnsi="Times New Roman" w:cs="Times New Roman"/>
          <w:sz w:val="24"/>
          <w:szCs w:val="24"/>
          <w:lang w:val="en-GB"/>
        </w:rPr>
        <w:t xml:space="preserve"> Menem</w:t>
      </w:r>
      <w:r w:rsidR="00F14DB2" w:rsidRPr="00D9330B">
        <w:rPr>
          <w:rFonts w:ascii="Times New Roman" w:hAnsi="Times New Roman" w:cs="Times New Roman"/>
          <w:sz w:val="24"/>
          <w:szCs w:val="24"/>
          <w:lang w:val="en-GB"/>
        </w:rPr>
        <w:t xml:space="preserve">’s economic teams did not </w:t>
      </w:r>
      <w:r w:rsidR="00684B18" w:rsidRPr="00D9330B">
        <w:rPr>
          <w:rFonts w:ascii="Times New Roman" w:hAnsi="Times New Roman" w:cs="Times New Roman"/>
          <w:sz w:val="24"/>
          <w:szCs w:val="24"/>
          <w:lang w:val="en-GB"/>
        </w:rPr>
        <w:t>seek to push the tax burden</w:t>
      </w:r>
      <w:r w:rsidR="002478A8" w:rsidRPr="00D9330B">
        <w:rPr>
          <w:rFonts w:ascii="Times New Roman" w:hAnsi="Times New Roman" w:cs="Times New Roman"/>
          <w:sz w:val="24"/>
          <w:szCs w:val="24"/>
          <w:lang w:val="en-GB"/>
        </w:rPr>
        <w:t xml:space="preserve"> beyond about 20 per</w:t>
      </w:r>
      <w:r w:rsidR="00571463">
        <w:rPr>
          <w:rFonts w:ascii="Times New Roman" w:hAnsi="Times New Roman" w:cs="Times New Roman"/>
          <w:sz w:val="24"/>
          <w:szCs w:val="24"/>
          <w:lang w:val="en-GB"/>
        </w:rPr>
        <w:t xml:space="preserve"> </w:t>
      </w:r>
      <w:r w:rsidR="002478A8" w:rsidRPr="00D9330B">
        <w:rPr>
          <w:rFonts w:ascii="Times New Roman" w:hAnsi="Times New Roman" w:cs="Times New Roman"/>
          <w:sz w:val="24"/>
          <w:szCs w:val="24"/>
          <w:lang w:val="en-GB"/>
        </w:rPr>
        <w:t>cent of GDP</w:t>
      </w:r>
      <w:r w:rsidR="005F6934" w:rsidRPr="00D9330B">
        <w:rPr>
          <w:rFonts w:ascii="Times New Roman" w:hAnsi="Times New Roman" w:cs="Times New Roman"/>
          <w:sz w:val="24"/>
          <w:szCs w:val="24"/>
          <w:lang w:val="en-GB"/>
        </w:rPr>
        <w:t>.</w:t>
      </w:r>
    </w:p>
    <w:p w:rsidR="00F54068" w:rsidRPr="00D9330B" w:rsidRDefault="00212D84" w:rsidP="00E97E98">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Uruguay is</w:t>
      </w:r>
      <w:r w:rsidR="002A3B91" w:rsidRPr="00D9330B">
        <w:rPr>
          <w:rFonts w:ascii="Times New Roman" w:hAnsi="Times New Roman" w:cs="Times New Roman"/>
          <w:sz w:val="24"/>
          <w:szCs w:val="24"/>
          <w:lang w:val="en-GB"/>
        </w:rPr>
        <w:t xml:space="preserve"> an intermediate case, since </w:t>
      </w:r>
      <w:r w:rsidR="00734CA7" w:rsidRPr="00D9330B">
        <w:rPr>
          <w:rFonts w:ascii="Times New Roman" w:hAnsi="Times New Roman" w:cs="Times New Roman"/>
          <w:sz w:val="24"/>
          <w:szCs w:val="24"/>
          <w:lang w:val="en-GB"/>
        </w:rPr>
        <w:t>the liberalisin</w:t>
      </w:r>
      <w:r w:rsidR="00760348" w:rsidRPr="00D9330B">
        <w:rPr>
          <w:rFonts w:ascii="Times New Roman" w:hAnsi="Times New Roman" w:cs="Times New Roman"/>
          <w:sz w:val="24"/>
          <w:szCs w:val="24"/>
          <w:lang w:val="en-GB"/>
        </w:rPr>
        <w:t>g reforms of the military era</w:t>
      </w:r>
      <w:r w:rsidR="00137BFC" w:rsidRPr="00D9330B">
        <w:rPr>
          <w:rFonts w:ascii="Times New Roman" w:hAnsi="Times New Roman" w:cs="Times New Roman"/>
          <w:sz w:val="24"/>
          <w:szCs w:val="24"/>
          <w:lang w:val="en-GB"/>
        </w:rPr>
        <w:t xml:space="preserve"> were not as profound as</w:t>
      </w:r>
      <w:r w:rsidR="000D1239" w:rsidRPr="00D9330B">
        <w:rPr>
          <w:rFonts w:ascii="Times New Roman" w:hAnsi="Times New Roman" w:cs="Times New Roman"/>
          <w:sz w:val="24"/>
          <w:szCs w:val="24"/>
          <w:lang w:val="en-GB"/>
        </w:rPr>
        <w:t xml:space="preserve"> in Argentina or</w:t>
      </w:r>
      <w:r w:rsidR="00F54068" w:rsidRPr="00D9330B">
        <w:rPr>
          <w:rFonts w:ascii="Times New Roman" w:hAnsi="Times New Roman" w:cs="Times New Roman"/>
          <w:sz w:val="24"/>
          <w:szCs w:val="24"/>
          <w:lang w:val="en-GB"/>
        </w:rPr>
        <w:t xml:space="preserve"> </w:t>
      </w:r>
      <w:r w:rsidR="00551A7B" w:rsidRPr="00D9330B">
        <w:rPr>
          <w:rFonts w:ascii="Times New Roman" w:hAnsi="Times New Roman" w:cs="Times New Roman"/>
          <w:sz w:val="24"/>
          <w:szCs w:val="24"/>
          <w:lang w:val="en-GB"/>
        </w:rPr>
        <w:t>Chile. However, even in Uruguay the reform process</w:t>
      </w:r>
      <w:r w:rsidR="005F6934" w:rsidRPr="00D9330B">
        <w:rPr>
          <w:rFonts w:ascii="Times New Roman" w:hAnsi="Times New Roman" w:cs="Times New Roman"/>
          <w:sz w:val="24"/>
          <w:szCs w:val="24"/>
          <w:lang w:val="en-GB"/>
        </w:rPr>
        <w:t xml:space="preserve"> undercut </w:t>
      </w:r>
      <w:r w:rsidR="002A3B91" w:rsidRPr="00D9330B">
        <w:rPr>
          <w:rFonts w:ascii="Times New Roman" w:hAnsi="Times New Roman" w:cs="Times New Roman"/>
          <w:sz w:val="24"/>
          <w:szCs w:val="24"/>
          <w:lang w:val="en-GB"/>
        </w:rPr>
        <w:t>t</w:t>
      </w:r>
      <w:r w:rsidR="00551A7B" w:rsidRPr="00D9330B">
        <w:rPr>
          <w:rFonts w:ascii="Times New Roman" w:hAnsi="Times New Roman" w:cs="Times New Roman"/>
          <w:sz w:val="24"/>
          <w:szCs w:val="24"/>
          <w:lang w:val="en-GB"/>
        </w:rPr>
        <w:t xml:space="preserve">he </w:t>
      </w:r>
      <w:r w:rsidR="00E504CD" w:rsidRPr="00D9330B">
        <w:rPr>
          <w:rFonts w:ascii="Times New Roman" w:hAnsi="Times New Roman" w:cs="Times New Roman"/>
          <w:sz w:val="24"/>
          <w:szCs w:val="24"/>
          <w:lang w:val="en-GB"/>
        </w:rPr>
        <w:t xml:space="preserve">protected </w:t>
      </w:r>
      <w:r w:rsidR="00551A7B" w:rsidRPr="00D9330B">
        <w:rPr>
          <w:rFonts w:ascii="Times New Roman" w:hAnsi="Times New Roman" w:cs="Times New Roman"/>
          <w:sz w:val="24"/>
          <w:szCs w:val="24"/>
          <w:lang w:val="en-GB"/>
        </w:rPr>
        <w:t>industrial sector and initiated a</w:t>
      </w:r>
      <w:r w:rsidR="00172782" w:rsidRPr="00D9330B">
        <w:rPr>
          <w:rFonts w:ascii="Times New Roman" w:hAnsi="Times New Roman" w:cs="Times New Roman"/>
          <w:sz w:val="24"/>
          <w:szCs w:val="24"/>
          <w:lang w:val="en-GB"/>
        </w:rPr>
        <w:t xml:space="preserve"> gradual but sustained </w:t>
      </w:r>
      <w:r w:rsidR="00622088" w:rsidRPr="00D9330B">
        <w:rPr>
          <w:rFonts w:ascii="Times New Roman" w:hAnsi="Times New Roman" w:cs="Times New Roman"/>
          <w:sz w:val="24"/>
          <w:szCs w:val="24"/>
          <w:lang w:val="en-GB"/>
        </w:rPr>
        <w:t>transition away from import-substitution</w:t>
      </w:r>
      <w:r w:rsidR="00CD672F" w:rsidRPr="00D9330B">
        <w:rPr>
          <w:rFonts w:ascii="Times New Roman" w:hAnsi="Times New Roman" w:cs="Times New Roman"/>
          <w:sz w:val="24"/>
          <w:szCs w:val="24"/>
          <w:lang w:val="en-GB"/>
        </w:rPr>
        <w:t xml:space="preserve">. </w:t>
      </w:r>
      <w:r w:rsidR="00E97E98" w:rsidRPr="00D9330B">
        <w:rPr>
          <w:rFonts w:ascii="Times New Roman" w:hAnsi="Times New Roman" w:cs="Times New Roman"/>
          <w:sz w:val="24"/>
          <w:szCs w:val="24"/>
          <w:lang w:val="en-GB"/>
        </w:rPr>
        <w:t>Trade liberalisation</w:t>
      </w:r>
      <w:r w:rsidR="00285AB2" w:rsidRPr="00D9330B">
        <w:rPr>
          <w:rFonts w:ascii="Times New Roman" w:hAnsi="Times New Roman" w:cs="Times New Roman"/>
          <w:sz w:val="24"/>
          <w:szCs w:val="24"/>
          <w:lang w:val="en-GB"/>
        </w:rPr>
        <w:t xml:space="preserve"> continued after the 1984 democratic transition</w:t>
      </w:r>
      <w:r w:rsidR="00E97E98" w:rsidRPr="00D9330B">
        <w:rPr>
          <w:rFonts w:ascii="Times New Roman" w:hAnsi="Times New Roman" w:cs="Times New Roman"/>
          <w:sz w:val="24"/>
          <w:szCs w:val="24"/>
          <w:lang w:val="en-GB"/>
        </w:rPr>
        <w:t xml:space="preserve"> and intensified in the</w:t>
      </w:r>
      <w:r w:rsidR="00322EA4" w:rsidRPr="00D9330B">
        <w:rPr>
          <w:rFonts w:ascii="Times New Roman" w:hAnsi="Times New Roman" w:cs="Times New Roman"/>
          <w:sz w:val="24"/>
          <w:szCs w:val="24"/>
          <w:lang w:val="en-GB"/>
        </w:rPr>
        <w:t xml:space="preserve"> early</w:t>
      </w:r>
      <w:r w:rsidR="00E97E98" w:rsidRPr="00D9330B">
        <w:rPr>
          <w:rFonts w:ascii="Times New Roman" w:hAnsi="Times New Roman" w:cs="Times New Roman"/>
          <w:sz w:val="24"/>
          <w:szCs w:val="24"/>
          <w:lang w:val="en-GB"/>
        </w:rPr>
        <w:t xml:space="preserve"> 1990s.</w:t>
      </w:r>
      <w:r w:rsidR="00172782" w:rsidRPr="00D9330B">
        <w:rPr>
          <w:rStyle w:val="FootnoteReference"/>
          <w:rFonts w:ascii="Times New Roman" w:hAnsi="Times New Roman" w:cs="Times New Roman"/>
          <w:sz w:val="24"/>
          <w:szCs w:val="24"/>
          <w:lang w:val="en-GB"/>
        </w:rPr>
        <w:footnoteReference w:id="91"/>
      </w:r>
      <w:r w:rsidR="00E97E98" w:rsidRPr="00D9330B">
        <w:rPr>
          <w:rFonts w:ascii="Times New Roman" w:hAnsi="Times New Roman" w:cs="Times New Roman"/>
          <w:sz w:val="24"/>
          <w:szCs w:val="24"/>
          <w:lang w:val="en-GB"/>
        </w:rPr>
        <w:t xml:space="preserve"> The latter </w:t>
      </w:r>
      <w:r w:rsidRPr="00D9330B">
        <w:rPr>
          <w:rFonts w:ascii="Times New Roman" w:hAnsi="Times New Roman" w:cs="Times New Roman"/>
          <w:sz w:val="24"/>
          <w:szCs w:val="24"/>
          <w:lang w:val="en-GB"/>
        </w:rPr>
        <w:t>period also brought</w:t>
      </w:r>
      <w:r w:rsidR="00E97E98" w:rsidRPr="00D9330B">
        <w:rPr>
          <w:rFonts w:ascii="Times New Roman" w:hAnsi="Times New Roman" w:cs="Times New Roman"/>
          <w:sz w:val="24"/>
          <w:szCs w:val="24"/>
          <w:lang w:val="en-GB"/>
        </w:rPr>
        <w:t xml:space="preserve"> reforms in other areas, incl</w:t>
      </w:r>
      <w:r w:rsidR="00E76685" w:rsidRPr="00D9330B">
        <w:rPr>
          <w:rFonts w:ascii="Times New Roman" w:hAnsi="Times New Roman" w:cs="Times New Roman"/>
          <w:sz w:val="24"/>
          <w:szCs w:val="24"/>
          <w:lang w:val="en-GB"/>
        </w:rPr>
        <w:t>uding</w:t>
      </w:r>
      <w:r w:rsidR="00285AB2" w:rsidRPr="00D9330B">
        <w:rPr>
          <w:rFonts w:ascii="Times New Roman" w:hAnsi="Times New Roman" w:cs="Times New Roman"/>
          <w:sz w:val="24"/>
          <w:szCs w:val="24"/>
          <w:lang w:val="en-GB"/>
        </w:rPr>
        <w:t xml:space="preserve"> partial privatisation of social security</w:t>
      </w:r>
      <w:r w:rsidR="00172782" w:rsidRPr="00D9330B">
        <w:rPr>
          <w:rFonts w:ascii="Times New Roman" w:hAnsi="Times New Roman" w:cs="Times New Roman"/>
          <w:sz w:val="24"/>
          <w:szCs w:val="24"/>
          <w:lang w:val="en-GB"/>
        </w:rPr>
        <w:t xml:space="preserve">, a move long resisted </w:t>
      </w:r>
      <w:r w:rsidRPr="00D9330B">
        <w:rPr>
          <w:rFonts w:ascii="Times New Roman" w:hAnsi="Times New Roman" w:cs="Times New Roman"/>
          <w:sz w:val="24"/>
          <w:szCs w:val="24"/>
          <w:lang w:val="en-GB"/>
        </w:rPr>
        <w:t>by unions and pensioners</w:t>
      </w:r>
      <w:r w:rsidR="00285AB2" w:rsidRPr="00D9330B">
        <w:rPr>
          <w:rFonts w:ascii="Times New Roman" w:hAnsi="Times New Roman" w:cs="Times New Roman"/>
          <w:sz w:val="24"/>
          <w:szCs w:val="24"/>
          <w:lang w:val="en-GB"/>
        </w:rPr>
        <w:t>.</w:t>
      </w:r>
      <w:r w:rsidR="00E76685" w:rsidRPr="00D9330B">
        <w:rPr>
          <w:rStyle w:val="FootnoteReference"/>
          <w:rFonts w:ascii="Times New Roman" w:hAnsi="Times New Roman" w:cs="Times New Roman"/>
          <w:sz w:val="24"/>
          <w:szCs w:val="24"/>
          <w:lang w:val="en-GB"/>
        </w:rPr>
        <w:footnoteReference w:id="92"/>
      </w:r>
      <w:r w:rsidR="00137BFC" w:rsidRPr="00D9330B">
        <w:rPr>
          <w:rFonts w:ascii="Times New Roman" w:hAnsi="Times New Roman" w:cs="Times New Roman"/>
          <w:sz w:val="24"/>
          <w:szCs w:val="24"/>
          <w:lang w:val="en-GB"/>
        </w:rPr>
        <w:t xml:space="preserve"> Labour </w:t>
      </w:r>
      <w:r w:rsidR="00137BFC" w:rsidRPr="00D9330B">
        <w:rPr>
          <w:rFonts w:ascii="Times New Roman" w:hAnsi="Times New Roman" w:cs="Times New Roman"/>
          <w:sz w:val="24"/>
          <w:szCs w:val="24"/>
          <w:lang w:val="en-GB"/>
        </w:rPr>
        <w:lastRenderedPageBreak/>
        <w:t>organisation experienced a brief revi</w:t>
      </w:r>
      <w:r w:rsidR="00E97E98" w:rsidRPr="00D9330B">
        <w:rPr>
          <w:rFonts w:ascii="Times New Roman" w:hAnsi="Times New Roman" w:cs="Times New Roman"/>
          <w:sz w:val="24"/>
          <w:szCs w:val="24"/>
          <w:lang w:val="en-GB"/>
        </w:rPr>
        <w:t>talisation during the regime</w:t>
      </w:r>
      <w:r w:rsidR="00137BFC" w:rsidRPr="00D9330B">
        <w:rPr>
          <w:rFonts w:ascii="Times New Roman" w:hAnsi="Times New Roman" w:cs="Times New Roman"/>
          <w:sz w:val="24"/>
          <w:szCs w:val="24"/>
          <w:lang w:val="en-GB"/>
        </w:rPr>
        <w:t xml:space="preserve"> transition</w:t>
      </w:r>
      <w:r w:rsidR="00285AB2" w:rsidRPr="00D9330B">
        <w:rPr>
          <w:rFonts w:ascii="Times New Roman" w:hAnsi="Times New Roman" w:cs="Times New Roman"/>
          <w:sz w:val="24"/>
          <w:szCs w:val="24"/>
          <w:lang w:val="en-GB"/>
        </w:rPr>
        <w:t>,</w:t>
      </w:r>
      <w:r w:rsidR="00137BFC" w:rsidRPr="00D9330B">
        <w:rPr>
          <w:rFonts w:ascii="Times New Roman" w:hAnsi="Times New Roman" w:cs="Times New Roman"/>
          <w:sz w:val="24"/>
          <w:szCs w:val="24"/>
          <w:lang w:val="en-GB"/>
        </w:rPr>
        <w:t xml:space="preserve"> but </w:t>
      </w:r>
      <w:r w:rsidR="00A66C73" w:rsidRPr="00D9330B">
        <w:rPr>
          <w:rFonts w:ascii="Times New Roman" w:hAnsi="Times New Roman" w:cs="Times New Roman"/>
          <w:sz w:val="24"/>
          <w:szCs w:val="24"/>
          <w:lang w:val="en-GB"/>
        </w:rPr>
        <w:t xml:space="preserve">began to fade again in the second half of the </w:t>
      </w:r>
      <w:r w:rsidR="00285AB2" w:rsidRPr="00D9330B">
        <w:rPr>
          <w:rFonts w:ascii="Times New Roman" w:hAnsi="Times New Roman" w:cs="Times New Roman"/>
          <w:sz w:val="24"/>
          <w:szCs w:val="24"/>
          <w:lang w:val="en-GB"/>
        </w:rPr>
        <w:t>1980s</w:t>
      </w:r>
      <w:r w:rsidR="00073900" w:rsidRPr="00D9330B">
        <w:rPr>
          <w:rFonts w:ascii="Times New Roman" w:hAnsi="Times New Roman" w:cs="Times New Roman"/>
          <w:sz w:val="24"/>
          <w:szCs w:val="24"/>
          <w:lang w:val="en-GB"/>
        </w:rPr>
        <w:t>,</w:t>
      </w:r>
      <w:r w:rsidR="00EC3532" w:rsidRPr="00D9330B">
        <w:rPr>
          <w:rFonts w:ascii="Times New Roman" w:hAnsi="Times New Roman" w:cs="Times New Roman"/>
          <w:sz w:val="24"/>
          <w:szCs w:val="24"/>
          <w:lang w:val="en-GB"/>
        </w:rPr>
        <w:t xml:space="preserve"> especially among private</w:t>
      </w:r>
      <w:r w:rsidR="00B836AB" w:rsidRPr="00D9330B">
        <w:rPr>
          <w:rFonts w:ascii="Times New Roman" w:hAnsi="Times New Roman" w:cs="Times New Roman"/>
          <w:sz w:val="24"/>
          <w:szCs w:val="24"/>
          <w:lang w:val="en-GB"/>
        </w:rPr>
        <w:t xml:space="preserve"> firms</w:t>
      </w:r>
      <w:r w:rsidR="00137BFC" w:rsidRPr="00D9330B">
        <w:rPr>
          <w:rFonts w:ascii="Times New Roman" w:hAnsi="Times New Roman" w:cs="Times New Roman"/>
          <w:sz w:val="24"/>
          <w:szCs w:val="24"/>
          <w:lang w:val="en-GB"/>
        </w:rPr>
        <w:t>.</w:t>
      </w:r>
      <w:r w:rsidR="00A66C73" w:rsidRPr="00D9330B">
        <w:rPr>
          <w:rStyle w:val="FootnoteReference"/>
          <w:rFonts w:ascii="Times New Roman" w:hAnsi="Times New Roman" w:cs="Times New Roman"/>
          <w:sz w:val="24"/>
          <w:szCs w:val="24"/>
          <w:lang w:val="en-GB"/>
        </w:rPr>
        <w:footnoteReference w:id="93"/>
      </w:r>
      <w:r w:rsidR="00A66C73" w:rsidRPr="00D9330B">
        <w:rPr>
          <w:rFonts w:ascii="Times New Roman" w:hAnsi="Times New Roman" w:cs="Times New Roman"/>
          <w:sz w:val="24"/>
          <w:szCs w:val="24"/>
          <w:lang w:val="en-GB"/>
        </w:rPr>
        <w:t xml:space="preserve"> By 2000 union density</w:t>
      </w:r>
      <w:r w:rsidR="002A4CA6" w:rsidRPr="00D9330B">
        <w:rPr>
          <w:rFonts w:ascii="Times New Roman" w:hAnsi="Times New Roman" w:cs="Times New Roman"/>
          <w:sz w:val="24"/>
          <w:szCs w:val="24"/>
          <w:lang w:val="en-GB"/>
        </w:rPr>
        <w:t xml:space="preserve"> w</w:t>
      </w:r>
      <w:r w:rsidR="00A66C73" w:rsidRPr="00D9330B">
        <w:rPr>
          <w:rFonts w:ascii="Times New Roman" w:hAnsi="Times New Roman" w:cs="Times New Roman"/>
          <w:sz w:val="24"/>
          <w:szCs w:val="24"/>
          <w:lang w:val="en-GB"/>
        </w:rPr>
        <w:t>as less than half its mid-1980s level</w:t>
      </w:r>
      <w:r w:rsidR="002A4CA6" w:rsidRPr="00D9330B">
        <w:rPr>
          <w:rFonts w:ascii="Times New Roman" w:hAnsi="Times New Roman" w:cs="Times New Roman"/>
          <w:sz w:val="24"/>
          <w:szCs w:val="24"/>
          <w:lang w:val="en-GB"/>
        </w:rPr>
        <w:t>.</w:t>
      </w:r>
      <w:r w:rsidR="001918C6" w:rsidRPr="00D9330B">
        <w:rPr>
          <w:rFonts w:ascii="Times New Roman" w:hAnsi="Times New Roman" w:cs="Times New Roman"/>
          <w:sz w:val="24"/>
          <w:szCs w:val="24"/>
          <w:lang w:val="en-GB"/>
        </w:rPr>
        <w:t xml:space="preserve"> </w:t>
      </w:r>
      <w:r w:rsidR="00073900" w:rsidRPr="00D9330B">
        <w:rPr>
          <w:rFonts w:ascii="Times New Roman" w:hAnsi="Times New Roman" w:cs="Times New Roman"/>
          <w:sz w:val="24"/>
          <w:szCs w:val="24"/>
          <w:lang w:val="en-GB"/>
        </w:rPr>
        <w:t>Uruguayan authorities</w:t>
      </w:r>
      <w:r w:rsidR="00C26FEE" w:rsidRPr="00D9330B">
        <w:rPr>
          <w:rFonts w:ascii="Times New Roman" w:hAnsi="Times New Roman" w:cs="Times New Roman"/>
          <w:sz w:val="24"/>
          <w:szCs w:val="24"/>
          <w:lang w:val="en-GB"/>
        </w:rPr>
        <w:t xml:space="preserve"> during the 1990s and early 2000s</w:t>
      </w:r>
      <w:r w:rsidR="00073900" w:rsidRPr="00D9330B">
        <w:rPr>
          <w:rFonts w:ascii="Times New Roman" w:hAnsi="Times New Roman" w:cs="Times New Roman"/>
          <w:sz w:val="24"/>
          <w:szCs w:val="24"/>
          <w:lang w:val="en-GB"/>
        </w:rPr>
        <w:t xml:space="preserve"> were</w:t>
      </w:r>
      <w:r w:rsidR="00E97E98" w:rsidRPr="00D9330B">
        <w:rPr>
          <w:rFonts w:ascii="Times New Roman" w:hAnsi="Times New Roman" w:cs="Times New Roman"/>
          <w:sz w:val="24"/>
          <w:szCs w:val="24"/>
          <w:lang w:val="en-GB"/>
        </w:rPr>
        <w:t xml:space="preserve"> generally</w:t>
      </w:r>
      <w:r w:rsidR="00E76E7D" w:rsidRPr="00D9330B">
        <w:rPr>
          <w:rFonts w:ascii="Times New Roman" w:hAnsi="Times New Roman" w:cs="Times New Roman"/>
          <w:sz w:val="24"/>
          <w:szCs w:val="24"/>
          <w:lang w:val="en-GB"/>
        </w:rPr>
        <w:t xml:space="preserve"> inclined toward a</w:t>
      </w:r>
      <w:r w:rsidR="00320719" w:rsidRPr="00D9330B">
        <w:rPr>
          <w:rFonts w:ascii="Times New Roman" w:hAnsi="Times New Roman" w:cs="Times New Roman"/>
          <w:sz w:val="24"/>
          <w:szCs w:val="24"/>
          <w:lang w:val="en-GB"/>
        </w:rPr>
        <w:t xml:space="preserve"> compact state</w:t>
      </w:r>
      <w:r w:rsidR="001918C6" w:rsidRPr="00D9330B">
        <w:rPr>
          <w:rFonts w:ascii="Times New Roman" w:hAnsi="Times New Roman" w:cs="Times New Roman"/>
          <w:sz w:val="24"/>
          <w:szCs w:val="24"/>
          <w:lang w:val="en-GB"/>
        </w:rPr>
        <w:t xml:space="preserve"> and</w:t>
      </w:r>
      <w:r w:rsidR="00203633" w:rsidRPr="00D9330B">
        <w:rPr>
          <w:rFonts w:ascii="Times New Roman" w:hAnsi="Times New Roman" w:cs="Times New Roman"/>
          <w:sz w:val="24"/>
          <w:szCs w:val="24"/>
          <w:lang w:val="en-GB"/>
        </w:rPr>
        <w:t xml:space="preserve"> did not seek a higher tax burden. </w:t>
      </w:r>
      <w:r w:rsidR="00F14DB2" w:rsidRPr="00D9330B">
        <w:rPr>
          <w:rFonts w:ascii="Times New Roman" w:hAnsi="Times New Roman" w:cs="Times New Roman"/>
          <w:sz w:val="24"/>
          <w:szCs w:val="24"/>
          <w:lang w:val="en-GB"/>
        </w:rPr>
        <w:t>Largely as</w:t>
      </w:r>
      <w:r w:rsidR="00C26FEE" w:rsidRPr="00D9330B">
        <w:rPr>
          <w:rFonts w:ascii="Times New Roman" w:hAnsi="Times New Roman" w:cs="Times New Roman"/>
          <w:sz w:val="24"/>
          <w:szCs w:val="24"/>
          <w:lang w:val="en-GB"/>
        </w:rPr>
        <w:t xml:space="preserve"> a result, </w:t>
      </w:r>
      <w:r w:rsidR="00073900" w:rsidRPr="00D9330B">
        <w:rPr>
          <w:rFonts w:ascii="Times New Roman" w:hAnsi="Times New Roman" w:cs="Times New Roman"/>
          <w:sz w:val="24"/>
          <w:szCs w:val="24"/>
          <w:lang w:val="en-GB"/>
        </w:rPr>
        <w:t>Uruguay’s tax burden s</w:t>
      </w:r>
      <w:r w:rsidR="00C9049D" w:rsidRPr="00D9330B">
        <w:rPr>
          <w:rFonts w:ascii="Times New Roman" w:hAnsi="Times New Roman" w:cs="Times New Roman"/>
          <w:sz w:val="24"/>
          <w:szCs w:val="24"/>
          <w:lang w:val="en-GB"/>
        </w:rPr>
        <w:t>tagnated at</w:t>
      </w:r>
      <w:r w:rsidR="00C26FEE" w:rsidRPr="00D9330B">
        <w:rPr>
          <w:rFonts w:ascii="Times New Roman" w:hAnsi="Times New Roman" w:cs="Times New Roman"/>
          <w:sz w:val="24"/>
          <w:szCs w:val="24"/>
          <w:lang w:val="en-GB"/>
        </w:rPr>
        <w:t xml:space="preserve"> about 22</w:t>
      </w:r>
      <w:r w:rsidR="002376CB" w:rsidRPr="00D9330B">
        <w:rPr>
          <w:rFonts w:ascii="Times New Roman" w:hAnsi="Times New Roman" w:cs="Times New Roman"/>
          <w:sz w:val="24"/>
          <w:szCs w:val="24"/>
          <w:lang w:val="en-GB"/>
        </w:rPr>
        <w:t xml:space="preserve"> per</w:t>
      </w:r>
      <w:r w:rsidR="00334D66">
        <w:rPr>
          <w:rFonts w:ascii="Times New Roman" w:hAnsi="Times New Roman" w:cs="Times New Roman"/>
          <w:sz w:val="24"/>
          <w:szCs w:val="24"/>
          <w:lang w:val="en-GB"/>
        </w:rPr>
        <w:t xml:space="preserve"> </w:t>
      </w:r>
      <w:r w:rsidR="002376CB" w:rsidRPr="00D9330B">
        <w:rPr>
          <w:rFonts w:ascii="Times New Roman" w:hAnsi="Times New Roman" w:cs="Times New Roman"/>
          <w:sz w:val="24"/>
          <w:szCs w:val="24"/>
          <w:lang w:val="en-GB"/>
        </w:rPr>
        <w:t>cent of GDP.</w:t>
      </w:r>
    </w:p>
    <w:p w:rsidR="006A78DD" w:rsidRPr="00D9330B" w:rsidRDefault="00F54068" w:rsidP="00BD11E9">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In recent years all three countries have shown signs of moving in a more statist direction.</w:t>
      </w:r>
      <w:r w:rsidR="001F6B6A" w:rsidRPr="00D9330B">
        <w:rPr>
          <w:rFonts w:ascii="Times New Roman" w:hAnsi="Times New Roman" w:cs="Times New Roman"/>
          <w:sz w:val="24"/>
          <w:szCs w:val="24"/>
          <w:lang w:val="en-GB"/>
        </w:rPr>
        <w:t xml:space="preserve"> The tr</w:t>
      </w:r>
      <w:r w:rsidR="000431DC" w:rsidRPr="00D9330B">
        <w:rPr>
          <w:rFonts w:ascii="Times New Roman" w:hAnsi="Times New Roman" w:cs="Times New Roman"/>
          <w:sz w:val="24"/>
          <w:szCs w:val="24"/>
          <w:lang w:val="en-GB"/>
        </w:rPr>
        <w:t>end has taken</w:t>
      </w:r>
      <w:r w:rsidR="001F6B6A" w:rsidRPr="00D9330B">
        <w:rPr>
          <w:rFonts w:ascii="Times New Roman" w:hAnsi="Times New Roman" w:cs="Times New Roman"/>
          <w:sz w:val="24"/>
          <w:szCs w:val="24"/>
          <w:lang w:val="en-GB"/>
        </w:rPr>
        <w:t xml:space="preserve"> on its clearest expression in Argentina, where</w:t>
      </w:r>
      <w:r w:rsidR="00A268C2" w:rsidRPr="00D9330B">
        <w:rPr>
          <w:rFonts w:ascii="Times New Roman" w:hAnsi="Times New Roman" w:cs="Times New Roman"/>
          <w:sz w:val="24"/>
          <w:szCs w:val="24"/>
          <w:lang w:val="en-GB"/>
        </w:rPr>
        <w:t xml:space="preserve"> a</w:t>
      </w:r>
      <w:r w:rsidR="00D5220C" w:rsidRPr="00D9330B">
        <w:rPr>
          <w:rFonts w:ascii="Times New Roman" w:hAnsi="Times New Roman" w:cs="Times New Roman"/>
          <w:sz w:val="24"/>
          <w:szCs w:val="24"/>
          <w:lang w:val="en-GB"/>
        </w:rPr>
        <w:t xml:space="preserve"> coalition led by a</w:t>
      </w:r>
      <w:r w:rsidR="00A268C2" w:rsidRPr="00D9330B">
        <w:rPr>
          <w:rFonts w:ascii="Times New Roman" w:hAnsi="Times New Roman" w:cs="Times New Roman"/>
          <w:sz w:val="24"/>
          <w:szCs w:val="24"/>
          <w:lang w:val="en-GB"/>
        </w:rPr>
        <w:t xml:space="preserve"> leftist faction of </w:t>
      </w:r>
      <w:proofErr w:type="spellStart"/>
      <w:r w:rsidR="00A268C2" w:rsidRPr="00D9330B">
        <w:rPr>
          <w:rFonts w:ascii="Times New Roman" w:hAnsi="Times New Roman" w:cs="Times New Roman"/>
          <w:i/>
          <w:sz w:val="24"/>
          <w:szCs w:val="24"/>
          <w:lang w:val="en-GB"/>
        </w:rPr>
        <w:t>peronismo</w:t>
      </w:r>
      <w:proofErr w:type="spellEnd"/>
      <w:r w:rsidR="00A268C2" w:rsidRPr="00D9330B">
        <w:rPr>
          <w:rFonts w:ascii="Times New Roman" w:hAnsi="Times New Roman" w:cs="Times New Roman"/>
          <w:sz w:val="24"/>
          <w:szCs w:val="24"/>
          <w:lang w:val="en-GB"/>
        </w:rPr>
        <w:t xml:space="preserve"> </w:t>
      </w:r>
      <w:r w:rsidR="00D5220C" w:rsidRPr="00D9330B">
        <w:rPr>
          <w:rFonts w:ascii="Times New Roman" w:hAnsi="Times New Roman" w:cs="Times New Roman"/>
          <w:sz w:val="24"/>
          <w:szCs w:val="24"/>
          <w:lang w:val="en-GB"/>
        </w:rPr>
        <w:t xml:space="preserve">has </w:t>
      </w:r>
      <w:r w:rsidR="001F03F3" w:rsidRPr="00D9330B">
        <w:rPr>
          <w:rFonts w:ascii="Times New Roman" w:hAnsi="Times New Roman" w:cs="Times New Roman"/>
          <w:sz w:val="24"/>
          <w:szCs w:val="24"/>
          <w:lang w:val="en-GB"/>
        </w:rPr>
        <w:t>overseen a major</w:t>
      </w:r>
      <w:r w:rsidR="00A268C2" w:rsidRPr="00D9330B">
        <w:rPr>
          <w:rFonts w:ascii="Times New Roman" w:hAnsi="Times New Roman" w:cs="Times New Roman"/>
          <w:sz w:val="24"/>
          <w:szCs w:val="24"/>
          <w:lang w:val="en-GB"/>
        </w:rPr>
        <w:t xml:space="preserve"> increase in</w:t>
      </w:r>
      <w:r w:rsidR="000A249F">
        <w:rPr>
          <w:rFonts w:ascii="Times New Roman" w:hAnsi="Times New Roman" w:cs="Times New Roman"/>
          <w:sz w:val="24"/>
          <w:szCs w:val="24"/>
          <w:lang w:val="en-GB"/>
        </w:rPr>
        <w:t xml:space="preserve"> spending and taxation</w:t>
      </w:r>
      <w:r w:rsidR="00A268C2" w:rsidRPr="00D9330B">
        <w:rPr>
          <w:rFonts w:ascii="Times New Roman" w:hAnsi="Times New Roman" w:cs="Times New Roman"/>
          <w:sz w:val="24"/>
          <w:szCs w:val="24"/>
          <w:lang w:val="en-GB"/>
        </w:rPr>
        <w:t xml:space="preserve">. </w:t>
      </w:r>
      <w:r w:rsidR="001F03F3" w:rsidRPr="00D9330B">
        <w:rPr>
          <w:rFonts w:ascii="Times New Roman" w:hAnsi="Times New Roman" w:cs="Times New Roman"/>
          <w:sz w:val="24"/>
          <w:szCs w:val="24"/>
          <w:lang w:val="en-GB"/>
        </w:rPr>
        <w:t xml:space="preserve">Since 2005 </w:t>
      </w:r>
      <w:r w:rsidR="00A268C2" w:rsidRPr="00D9330B">
        <w:rPr>
          <w:rFonts w:ascii="Times New Roman" w:hAnsi="Times New Roman" w:cs="Times New Roman"/>
          <w:sz w:val="24"/>
          <w:szCs w:val="24"/>
          <w:lang w:val="en-GB"/>
        </w:rPr>
        <w:t>Uruguay</w:t>
      </w:r>
      <w:r w:rsidR="00E3368A" w:rsidRPr="00D9330B">
        <w:rPr>
          <w:rFonts w:ascii="Times New Roman" w:hAnsi="Times New Roman" w:cs="Times New Roman"/>
          <w:sz w:val="24"/>
          <w:szCs w:val="24"/>
          <w:lang w:val="en-GB"/>
        </w:rPr>
        <w:t xml:space="preserve"> has been governed by the </w:t>
      </w:r>
      <w:proofErr w:type="spellStart"/>
      <w:r w:rsidR="00E3368A" w:rsidRPr="00D9330B">
        <w:rPr>
          <w:rFonts w:ascii="Times New Roman" w:hAnsi="Times New Roman" w:cs="Times New Roman"/>
          <w:sz w:val="24"/>
          <w:szCs w:val="24"/>
          <w:lang w:val="en-GB"/>
        </w:rPr>
        <w:t>Frente</w:t>
      </w:r>
      <w:proofErr w:type="spellEnd"/>
      <w:r w:rsidR="00E3368A" w:rsidRPr="00D9330B">
        <w:rPr>
          <w:rFonts w:ascii="Times New Roman" w:hAnsi="Times New Roman" w:cs="Times New Roman"/>
          <w:sz w:val="24"/>
          <w:szCs w:val="24"/>
          <w:lang w:val="en-GB"/>
        </w:rPr>
        <w:t xml:space="preserve"> </w:t>
      </w:r>
      <w:proofErr w:type="spellStart"/>
      <w:r w:rsidR="00E3368A" w:rsidRPr="00D9330B">
        <w:rPr>
          <w:rFonts w:ascii="Times New Roman" w:hAnsi="Times New Roman" w:cs="Times New Roman"/>
          <w:sz w:val="24"/>
          <w:szCs w:val="24"/>
          <w:lang w:val="en-GB"/>
        </w:rPr>
        <w:t>Amplio</w:t>
      </w:r>
      <w:proofErr w:type="spellEnd"/>
      <w:r w:rsidR="00BC0C80" w:rsidRPr="00D9330B">
        <w:rPr>
          <w:rFonts w:ascii="Times New Roman" w:hAnsi="Times New Roman" w:cs="Times New Roman"/>
          <w:sz w:val="24"/>
          <w:szCs w:val="24"/>
          <w:lang w:val="en-GB"/>
        </w:rPr>
        <w:t xml:space="preserve"> (Broad Front)</w:t>
      </w:r>
      <w:r w:rsidR="00E3368A" w:rsidRPr="00D9330B">
        <w:rPr>
          <w:rFonts w:ascii="Times New Roman" w:hAnsi="Times New Roman" w:cs="Times New Roman"/>
          <w:sz w:val="24"/>
          <w:szCs w:val="24"/>
          <w:lang w:val="en-GB"/>
        </w:rPr>
        <w:t>, a centre-left coalition</w:t>
      </w:r>
      <w:r w:rsidR="002376CB" w:rsidRPr="00D9330B">
        <w:rPr>
          <w:rFonts w:ascii="Times New Roman" w:hAnsi="Times New Roman" w:cs="Times New Roman"/>
          <w:sz w:val="24"/>
          <w:szCs w:val="24"/>
          <w:lang w:val="en-GB"/>
        </w:rPr>
        <w:t xml:space="preserve"> that campaigned for a return to Uruguay’s </w:t>
      </w:r>
      <w:proofErr w:type="spellStart"/>
      <w:r w:rsidR="002376CB" w:rsidRPr="00D9330B">
        <w:rPr>
          <w:rFonts w:ascii="Times New Roman" w:hAnsi="Times New Roman" w:cs="Times New Roman"/>
          <w:sz w:val="24"/>
          <w:szCs w:val="24"/>
          <w:lang w:val="en-GB"/>
        </w:rPr>
        <w:t>welfarist</w:t>
      </w:r>
      <w:proofErr w:type="spellEnd"/>
      <w:r w:rsidR="002376CB" w:rsidRPr="00D9330B">
        <w:rPr>
          <w:rFonts w:ascii="Times New Roman" w:hAnsi="Times New Roman" w:cs="Times New Roman"/>
          <w:sz w:val="24"/>
          <w:szCs w:val="24"/>
          <w:lang w:val="en-GB"/>
        </w:rPr>
        <w:t xml:space="preserve"> tradit</w:t>
      </w:r>
      <w:r w:rsidR="001F03F3" w:rsidRPr="00D9330B">
        <w:rPr>
          <w:rFonts w:ascii="Times New Roman" w:hAnsi="Times New Roman" w:cs="Times New Roman"/>
          <w:sz w:val="24"/>
          <w:szCs w:val="24"/>
          <w:lang w:val="en-GB"/>
        </w:rPr>
        <w:t xml:space="preserve">ion. </w:t>
      </w:r>
      <w:r w:rsidR="002376CB" w:rsidRPr="00D9330B">
        <w:rPr>
          <w:rFonts w:ascii="Times New Roman" w:hAnsi="Times New Roman" w:cs="Times New Roman"/>
          <w:sz w:val="24"/>
          <w:szCs w:val="24"/>
          <w:lang w:val="en-GB"/>
        </w:rPr>
        <w:t xml:space="preserve"> </w:t>
      </w:r>
      <w:r w:rsidR="00C731B5" w:rsidRPr="00D9330B">
        <w:rPr>
          <w:rFonts w:ascii="Times New Roman" w:hAnsi="Times New Roman" w:cs="Times New Roman"/>
          <w:sz w:val="24"/>
          <w:szCs w:val="24"/>
          <w:lang w:val="en-GB"/>
        </w:rPr>
        <w:t>In</w:t>
      </w:r>
      <w:r w:rsidR="002376CB" w:rsidRPr="00D9330B">
        <w:rPr>
          <w:rFonts w:ascii="Times New Roman" w:hAnsi="Times New Roman" w:cs="Times New Roman"/>
          <w:sz w:val="24"/>
          <w:szCs w:val="24"/>
          <w:lang w:val="en-GB"/>
        </w:rPr>
        <w:t xml:space="preserve"> part</w:t>
      </w:r>
      <w:r w:rsidR="007A323D" w:rsidRPr="00D9330B">
        <w:rPr>
          <w:rFonts w:ascii="Times New Roman" w:hAnsi="Times New Roman" w:cs="Times New Roman"/>
          <w:sz w:val="24"/>
          <w:szCs w:val="24"/>
          <w:lang w:val="en-GB"/>
        </w:rPr>
        <w:t xml:space="preserve"> due to a</w:t>
      </w:r>
      <w:r w:rsidR="00AB38EE" w:rsidRPr="00D9330B">
        <w:rPr>
          <w:rFonts w:ascii="Times New Roman" w:hAnsi="Times New Roman" w:cs="Times New Roman"/>
          <w:sz w:val="24"/>
          <w:szCs w:val="24"/>
          <w:lang w:val="en-GB"/>
        </w:rPr>
        <w:t xml:space="preserve"> 2006</w:t>
      </w:r>
      <w:r w:rsidR="001F03F3" w:rsidRPr="00D9330B">
        <w:rPr>
          <w:rFonts w:ascii="Times New Roman" w:hAnsi="Times New Roman" w:cs="Times New Roman"/>
          <w:sz w:val="24"/>
          <w:szCs w:val="24"/>
          <w:lang w:val="en-GB"/>
        </w:rPr>
        <w:t xml:space="preserve"> tax reform, Uruguay’s </w:t>
      </w:r>
      <w:r w:rsidR="000431DC" w:rsidRPr="00D9330B">
        <w:rPr>
          <w:rFonts w:ascii="Times New Roman" w:hAnsi="Times New Roman" w:cs="Times New Roman"/>
          <w:sz w:val="24"/>
          <w:szCs w:val="24"/>
          <w:lang w:val="en-GB"/>
        </w:rPr>
        <w:t xml:space="preserve">tax burden has edged upward to </w:t>
      </w:r>
      <w:r w:rsidR="00AD29EA" w:rsidRPr="00D9330B">
        <w:rPr>
          <w:rFonts w:ascii="Times New Roman" w:hAnsi="Times New Roman" w:cs="Times New Roman"/>
          <w:sz w:val="24"/>
          <w:szCs w:val="24"/>
          <w:lang w:val="en-GB"/>
        </w:rPr>
        <w:t>around 30</w:t>
      </w:r>
      <w:r w:rsidR="001918C6" w:rsidRPr="00D9330B">
        <w:rPr>
          <w:rFonts w:ascii="Times New Roman" w:hAnsi="Times New Roman" w:cs="Times New Roman"/>
          <w:sz w:val="24"/>
          <w:szCs w:val="24"/>
          <w:lang w:val="en-GB"/>
        </w:rPr>
        <w:t xml:space="preserve"> per</w:t>
      </w:r>
      <w:r w:rsidR="00AC0ED6">
        <w:rPr>
          <w:rFonts w:ascii="Times New Roman" w:hAnsi="Times New Roman" w:cs="Times New Roman"/>
          <w:sz w:val="24"/>
          <w:szCs w:val="24"/>
          <w:lang w:val="en-GB"/>
        </w:rPr>
        <w:t xml:space="preserve"> </w:t>
      </w:r>
      <w:r w:rsidR="001918C6" w:rsidRPr="00D9330B">
        <w:rPr>
          <w:rFonts w:ascii="Times New Roman" w:hAnsi="Times New Roman" w:cs="Times New Roman"/>
          <w:sz w:val="24"/>
          <w:szCs w:val="24"/>
          <w:lang w:val="en-GB"/>
        </w:rPr>
        <w:t>cent</w:t>
      </w:r>
      <w:r w:rsidR="001F03F3" w:rsidRPr="00D9330B">
        <w:rPr>
          <w:rFonts w:ascii="Times New Roman" w:hAnsi="Times New Roman" w:cs="Times New Roman"/>
          <w:sz w:val="24"/>
          <w:szCs w:val="24"/>
          <w:lang w:val="en-GB"/>
        </w:rPr>
        <w:t xml:space="preserve"> of GD</w:t>
      </w:r>
      <w:r w:rsidR="000D7EA2" w:rsidRPr="00D9330B">
        <w:rPr>
          <w:rFonts w:ascii="Times New Roman" w:hAnsi="Times New Roman" w:cs="Times New Roman"/>
          <w:sz w:val="24"/>
          <w:szCs w:val="24"/>
          <w:lang w:val="en-GB"/>
        </w:rPr>
        <w:t>P.</w:t>
      </w:r>
      <w:r w:rsidR="00D5220C" w:rsidRPr="00D9330B">
        <w:rPr>
          <w:rFonts w:ascii="Times New Roman" w:hAnsi="Times New Roman" w:cs="Times New Roman"/>
          <w:sz w:val="24"/>
          <w:szCs w:val="24"/>
          <w:lang w:val="en-GB"/>
        </w:rPr>
        <w:t xml:space="preserve"> In C</w:t>
      </w:r>
      <w:r w:rsidR="002C21F8" w:rsidRPr="00D9330B">
        <w:rPr>
          <w:rFonts w:ascii="Times New Roman" w:hAnsi="Times New Roman" w:cs="Times New Roman"/>
          <w:sz w:val="24"/>
          <w:szCs w:val="24"/>
          <w:lang w:val="en-GB"/>
        </w:rPr>
        <w:t>hi</w:t>
      </w:r>
      <w:r w:rsidR="0001374F">
        <w:rPr>
          <w:rFonts w:ascii="Times New Roman" w:hAnsi="Times New Roman" w:cs="Times New Roman"/>
          <w:sz w:val="24"/>
          <w:szCs w:val="24"/>
          <w:lang w:val="en-GB"/>
        </w:rPr>
        <w:t>le, finally, the current centre-</w:t>
      </w:r>
      <w:r w:rsidR="002C21F8" w:rsidRPr="00D9330B">
        <w:rPr>
          <w:rFonts w:ascii="Times New Roman" w:hAnsi="Times New Roman" w:cs="Times New Roman"/>
          <w:sz w:val="24"/>
          <w:szCs w:val="24"/>
          <w:lang w:val="en-GB"/>
        </w:rPr>
        <w:t xml:space="preserve">left government </w:t>
      </w:r>
      <w:r w:rsidR="00880633">
        <w:rPr>
          <w:rFonts w:ascii="Times New Roman" w:hAnsi="Times New Roman" w:cs="Times New Roman"/>
          <w:sz w:val="24"/>
          <w:szCs w:val="24"/>
          <w:lang w:val="en-GB"/>
        </w:rPr>
        <w:t>has advanced</w:t>
      </w:r>
      <w:r w:rsidR="000D7EA2" w:rsidRPr="00D9330B">
        <w:rPr>
          <w:rFonts w:ascii="Times New Roman" w:hAnsi="Times New Roman" w:cs="Times New Roman"/>
          <w:sz w:val="24"/>
          <w:szCs w:val="24"/>
          <w:lang w:val="en-GB"/>
        </w:rPr>
        <w:t xml:space="preserve"> a series </w:t>
      </w:r>
      <w:r w:rsidR="009C17F7" w:rsidRPr="00D9330B">
        <w:rPr>
          <w:rFonts w:ascii="Times New Roman" w:hAnsi="Times New Roman" w:cs="Times New Roman"/>
          <w:sz w:val="24"/>
          <w:szCs w:val="24"/>
          <w:lang w:val="en-GB"/>
        </w:rPr>
        <w:t>of</w:t>
      </w:r>
      <w:r w:rsidR="000D7EA2" w:rsidRPr="00D9330B">
        <w:rPr>
          <w:rFonts w:ascii="Times New Roman" w:hAnsi="Times New Roman" w:cs="Times New Roman"/>
          <w:sz w:val="24"/>
          <w:szCs w:val="24"/>
          <w:lang w:val="en-GB"/>
        </w:rPr>
        <w:t xml:space="preserve"> progressive changes including </w:t>
      </w:r>
      <w:r w:rsidR="00397661" w:rsidRPr="00D9330B">
        <w:rPr>
          <w:rFonts w:ascii="Times New Roman" w:hAnsi="Times New Roman" w:cs="Times New Roman"/>
          <w:sz w:val="24"/>
          <w:szCs w:val="24"/>
          <w:lang w:val="en-GB"/>
        </w:rPr>
        <w:t xml:space="preserve">a significant </w:t>
      </w:r>
      <w:r w:rsidR="00A516F3" w:rsidRPr="00D9330B">
        <w:rPr>
          <w:rFonts w:ascii="Times New Roman" w:hAnsi="Times New Roman" w:cs="Times New Roman"/>
          <w:sz w:val="24"/>
          <w:szCs w:val="24"/>
          <w:lang w:val="en-GB"/>
        </w:rPr>
        <w:t>tax increase</w:t>
      </w:r>
      <w:r w:rsidR="00A66C73" w:rsidRPr="00D9330B">
        <w:rPr>
          <w:rFonts w:ascii="Times New Roman" w:hAnsi="Times New Roman" w:cs="Times New Roman"/>
          <w:sz w:val="24"/>
          <w:szCs w:val="24"/>
          <w:lang w:val="en-GB"/>
        </w:rPr>
        <w:t>. Albeit with different characteristics in each country, this</w:t>
      </w:r>
      <w:r w:rsidR="006F7FA8" w:rsidRPr="00D9330B">
        <w:rPr>
          <w:rFonts w:ascii="Times New Roman" w:hAnsi="Times New Roman" w:cs="Times New Roman"/>
          <w:sz w:val="24"/>
          <w:szCs w:val="24"/>
          <w:lang w:val="en-GB"/>
        </w:rPr>
        <w:t xml:space="preserve"> trend reflects</w:t>
      </w:r>
      <w:r w:rsidR="000D7EA2" w:rsidRPr="00D9330B">
        <w:rPr>
          <w:rFonts w:ascii="Times New Roman" w:hAnsi="Times New Roman" w:cs="Times New Roman"/>
          <w:sz w:val="24"/>
          <w:szCs w:val="24"/>
          <w:lang w:val="en-GB"/>
        </w:rPr>
        <w:t xml:space="preserve"> unease with </w:t>
      </w:r>
      <w:r w:rsidR="00BD11E9" w:rsidRPr="00D9330B">
        <w:rPr>
          <w:rFonts w:ascii="Times New Roman" w:hAnsi="Times New Roman" w:cs="Times New Roman"/>
          <w:sz w:val="24"/>
          <w:szCs w:val="24"/>
          <w:lang w:val="en-GB"/>
        </w:rPr>
        <w:t>th</w:t>
      </w:r>
      <w:r w:rsidR="00751500" w:rsidRPr="00D9330B">
        <w:rPr>
          <w:rFonts w:ascii="Times New Roman" w:hAnsi="Times New Roman" w:cs="Times New Roman"/>
          <w:sz w:val="24"/>
          <w:szCs w:val="24"/>
          <w:lang w:val="en-GB"/>
        </w:rPr>
        <w:t>e ‘neoliberal’ development</w:t>
      </w:r>
      <w:r w:rsidR="00BD11E9" w:rsidRPr="00D9330B">
        <w:rPr>
          <w:rFonts w:ascii="Times New Roman" w:hAnsi="Times New Roman" w:cs="Times New Roman"/>
          <w:sz w:val="24"/>
          <w:szCs w:val="24"/>
          <w:lang w:val="en-GB"/>
        </w:rPr>
        <w:t xml:space="preserve"> model</w:t>
      </w:r>
      <w:r w:rsidR="00436C65" w:rsidRPr="00D9330B">
        <w:rPr>
          <w:rFonts w:ascii="Times New Roman" w:hAnsi="Times New Roman" w:cs="Times New Roman"/>
          <w:sz w:val="24"/>
          <w:szCs w:val="24"/>
          <w:lang w:val="en-GB"/>
        </w:rPr>
        <w:t xml:space="preserve">. However, </w:t>
      </w:r>
      <w:r w:rsidR="00AD29EA" w:rsidRPr="00D9330B">
        <w:rPr>
          <w:rFonts w:ascii="Times New Roman" w:hAnsi="Times New Roman" w:cs="Times New Roman"/>
          <w:sz w:val="24"/>
          <w:szCs w:val="24"/>
          <w:lang w:val="en-GB"/>
        </w:rPr>
        <w:t>none of these countries seems likely to reach Brazil’s level of taxation in the near future. In Argentina, where the tax burden has sur</w:t>
      </w:r>
      <w:r w:rsidR="00EC3532" w:rsidRPr="00D9330B">
        <w:rPr>
          <w:rFonts w:ascii="Times New Roman" w:hAnsi="Times New Roman" w:cs="Times New Roman"/>
          <w:sz w:val="24"/>
          <w:szCs w:val="24"/>
          <w:lang w:val="en-GB"/>
        </w:rPr>
        <w:t>ged most rapidly</w:t>
      </w:r>
      <w:r w:rsidR="00AD29EA" w:rsidRPr="00D9330B">
        <w:rPr>
          <w:rFonts w:ascii="Times New Roman" w:hAnsi="Times New Roman" w:cs="Times New Roman"/>
          <w:sz w:val="24"/>
          <w:szCs w:val="24"/>
          <w:lang w:val="en-GB"/>
        </w:rPr>
        <w:t>, the current level</w:t>
      </w:r>
      <w:r w:rsidR="00C26FEE" w:rsidRPr="00D9330B">
        <w:rPr>
          <w:rFonts w:ascii="Times New Roman" w:hAnsi="Times New Roman" w:cs="Times New Roman"/>
          <w:sz w:val="24"/>
          <w:szCs w:val="24"/>
          <w:lang w:val="en-GB"/>
        </w:rPr>
        <w:t xml:space="preserve"> may b</w:t>
      </w:r>
      <w:r w:rsidR="006E0DD8" w:rsidRPr="00D9330B">
        <w:rPr>
          <w:rFonts w:ascii="Times New Roman" w:hAnsi="Times New Roman" w:cs="Times New Roman"/>
          <w:sz w:val="24"/>
          <w:szCs w:val="24"/>
          <w:lang w:val="en-GB"/>
        </w:rPr>
        <w:t>e difficult to sustain</w:t>
      </w:r>
      <w:r w:rsidR="008D7FD2" w:rsidRPr="00D9330B">
        <w:rPr>
          <w:rFonts w:ascii="Times New Roman" w:hAnsi="Times New Roman" w:cs="Times New Roman"/>
          <w:sz w:val="24"/>
          <w:szCs w:val="24"/>
          <w:lang w:val="en-GB"/>
        </w:rPr>
        <w:t>, in part because of</w:t>
      </w:r>
      <w:r w:rsidR="000D7072" w:rsidRPr="00D9330B">
        <w:rPr>
          <w:rFonts w:ascii="Times New Roman" w:hAnsi="Times New Roman" w:cs="Times New Roman"/>
          <w:sz w:val="24"/>
          <w:szCs w:val="24"/>
          <w:lang w:val="en-GB"/>
        </w:rPr>
        <w:t xml:space="preserve"> heavy reliance on</w:t>
      </w:r>
      <w:r w:rsidR="00AB38EE" w:rsidRPr="00D9330B">
        <w:rPr>
          <w:rFonts w:ascii="Times New Roman" w:hAnsi="Times New Roman" w:cs="Times New Roman"/>
          <w:sz w:val="24"/>
          <w:szCs w:val="24"/>
          <w:lang w:val="en-GB"/>
        </w:rPr>
        <w:t xml:space="preserve"> highly distortive export taxes</w:t>
      </w:r>
      <w:r w:rsidR="00436C65" w:rsidRPr="00D9330B">
        <w:rPr>
          <w:rFonts w:ascii="Times New Roman" w:hAnsi="Times New Roman" w:cs="Times New Roman"/>
          <w:sz w:val="24"/>
          <w:szCs w:val="24"/>
          <w:lang w:val="en-GB"/>
        </w:rPr>
        <w:t>.</w:t>
      </w:r>
    </w:p>
    <w:p w:rsidR="006E0DD8" w:rsidRPr="00D9330B" w:rsidRDefault="00186C79" w:rsidP="006E0DD8">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 Brazi</w:t>
      </w:r>
      <w:r w:rsidR="00AB0440" w:rsidRPr="00D9330B">
        <w:rPr>
          <w:rFonts w:ascii="Times New Roman" w:hAnsi="Times New Roman" w:cs="Times New Roman"/>
          <w:sz w:val="24"/>
          <w:szCs w:val="24"/>
          <w:lang w:val="en-GB"/>
        </w:rPr>
        <w:t>lian case</w:t>
      </w:r>
      <w:r w:rsidR="00073A6E" w:rsidRPr="00D9330B">
        <w:rPr>
          <w:rFonts w:ascii="Times New Roman" w:hAnsi="Times New Roman" w:cs="Times New Roman"/>
          <w:sz w:val="24"/>
          <w:szCs w:val="24"/>
          <w:lang w:val="en-GB"/>
        </w:rPr>
        <w:t xml:space="preserve"> contrasts</w:t>
      </w:r>
      <w:r w:rsidR="006E0DD8" w:rsidRPr="00D9330B">
        <w:rPr>
          <w:rFonts w:ascii="Times New Roman" w:hAnsi="Times New Roman" w:cs="Times New Roman"/>
          <w:sz w:val="24"/>
          <w:szCs w:val="24"/>
          <w:lang w:val="en-GB"/>
        </w:rPr>
        <w:t xml:space="preserve"> sharply with these in that military rule brought socioeconomic structural</w:t>
      </w:r>
      <w:r w:rsidR="00E12751" w:rsidRPr="00D9330B">
        <w:rPr>
          <w:rFonts w:ascii="Times New Roman" w:hAnsi="Times New Roman" w:cs="Times New Roman"/>
          <w:sz w:val="24"/>
          <w:szCs w:val="24"/>
          <w:lang w:val="en-GB"/>
        </w:rPr>
        <w:t xml:space="preserve"> changes that</w:t>
      </w:r>
      <w:r w:rsidR="008D7FD2" w:rsidRPr="00D9330B">
        <w:rPr>
          <w:rFonts w:ascii="Times New Roman" w:hAnsi="Times New Roman" w:cs="Times New Roman"/>
          <w:sz w:val="24"/>
          <w:szCs w:val="24"/>
          <w:lang w:val="en-GB"/>
        </w:rPr>
        <w:t>, ironically,</w:t>
      </w:r>
      <w:r w:rsidR="00E12751" w:rsidRPr="00D9330B">
        <w:rPr>
          <w:rFonts w:ascii="Times New Roman" w:hAnsi="Times New Roman" w:cs="Times New Roman"/>
          <w:sz w:val="24"/>
          <w:szCs w:val="24"/>
          <w:lang w:val="en-GB"/>
        </w:rPr>
        <w:t xml:space="preserve"> ultimately increased, rather than diminishing </w:t>
      </w:r>
      <w:r w:rsidR="00E12751" w:rsidRPr="00D9330B">
        <w:rPr>
          <w:rFonts w:ascii="Times New Roman" w:hAnsi="Times New Roman" w:cs="Times New Roman"/>
          <w:sz w:val="24"/>
          <w:szCs w:val="24"/>
          <w:lang w:val="en-GB"/>
        </w:rPr>
        <w:lastRenderedPageBreak/>
        <w:t>popular sector influence.</w:t>
      </w:r>
      <w:r w:rsidR="006E40A0" w:rsidRPr="00D9330B">
        <w:rPr>
          <w:rFonts w:ascii="Times New Roman" w:hAnsi="Times New Roman" w:cs="Times New Roman"/>
          <w:sz w:val="24"/>
          <w:szCs w:val="24"/>
          <w:lang w:val="en-GB"/>
        </w:rPr>
        <w:t xml:space="preserve"> Also</w:t>
      </w:r>
      <w:r w:rsidR="006E0DD8" w:rsidRPr="00D9330B">
        <w:rPr>
          <w:rFonts w:ascii="Times New Roman" w:hAnsi="Times New Roman" w:cs="Times New Roman"/>
          <w:sz w:val="24"/>
          <w:szCs w:val="24"/>
          <w:lang w:val="en-GB"/>
        </w:rPr>
        <w:t>, the regime’s relative success with state-led development helped to attenuate the</w:t>
      </w:r>
      <w:r w:rsidR="00CD587A" w:rsidRPr="00D9330B">
        <w:rPr>
          <w:rFonts w:ascii="Times New Roman" w:hAnsi="Times New Roman" w:cs="Times New Roman"/>
          <w:sz w:val="24"/>
          <w:szCs w:val="24"/>
          <w:lang w:val="en-GB"/>
        </w:rPr>
        <w:t xml:space="preserve"> domestic</w:t>
      </w:r>
      <w:r w:rsidR="006E0DD8" w:rsidRPr="00D9330B">
        <w:rPr>
          <w:rFonts w:ascii="Times New Roman" w:hAnsi="Times New Roman" w:cs="Times New Roman"/>
          <w:sz w:val="24"/>
          <w:szCs w:val="24"/>
          <w:lang w:val="en-GB"/>
        </w:rPr>
        <w:t xml:space="preserve"> </w:t>
      </w:r>
      <w:r w:rsidR="00CD587A" w:rsidRPr="00D9330B">
        <w:rPr>
          <w:rFonts w:ascii="Times New Roman" w:hAnsi="Times New Roman" w:cs="Times New Roman"/>
          <w:sz w:val="24"/>
          <w:szCs w:val="24"/>
          <w:lang w:val="en-GB"/>
        </w:rPr>
        <w:t xml:space="preserve">appeal of the </w:t>
      </w:r>
      <w:r w:rsidR="00C33CDD" w:rsidRPr="00D9330B">
        <w:rPr>
          <w:rFonts w:ascii="Times New Roman" w:hAnsi="Times New Roman" w:cs="Times New Roman"/>
          <w:sz w:val="24"/>
          <w:szCs w:val="24"/>
          <w:lang w:val="en-GB"/>
        </w:rPr>
        <w:t>liberal</w:t>
      </w:r>
      <w:r w:rsidR="006E0DD8" w:rsidRPr="00D9330B">
        <w:rPr>
          <w:rFonts w:ascii="Times New Roman" w:hAnsi="Times New Roman" w:cs="Times New Roman"/>
          <w:sz w:val="24"/>
          <w:szCs w:val="24"/>
          <w:lang w:val="en-GB"/>
        </w:rPr>
        <w:t xml:space="preserve"> reform wave of the 1980s and 1990s, abett</w:t>
      </w:r>
      <w:r w:rsidR="000431DC" w:rsidRPr="00D9330B">
        <w:rPr>
          <w:rFonts w:ascii="Times New Roman" w:hAnsi="Times New Roman" w:cs="Times New Roman"/>
          <w:sz w:val="24"/>
          <w:szCs w:val="24"/>
          <w:lang w:val="en-GB"/>
        </w:rPr>
        <w:t>ing the efforts of labour</w:t>
      </w:r>
      <w:r w:rsidR="006E0DD8" w:rsidRPr="00D9330B">
        <w:rPr>
          <w:rFonts w:ascii="Times New Roman" w:hAnsi="Times New Roman" w:cs="Times New Roman"/>
          <w:sz w:val="24"/>
          <w:szCs w:val="24"/>
          <w:lang w:val="en-GB"/>
        </w:rPr>
        <w:t xml:space="preserve"> and left parties to preserve a relatively statist system. </w:t>
      </w:r>
    </w:p>
    <w:p w:rsidR="00073A6E" w:rsidRPr="00D9330B" w:rsidRDefault="00E12751" w:rsidP="006E0DD8">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 xml:space="preserve"> </w:t>
      </w:r>
      <w:r w:rsidR="00073A6E" w:rsidRPr="00D9330B">
        <w:rPr>
          <w:rFonts w:ascii="Times New Roman" w:hAnsi="Times New Roman" w:cs="Times New Roman"/>
          <w:sz w:val="24"/>
          <w:szCs w:val="24"/>
          <w:lang w:val="en-GB"/>
        </w:rPr>
        <w:t xml:space="preserve">As argued </w:t>
      </w:r>
      <w:r w:rsidR="00F054A1" w:rsidRPr="00D9330B">
        <w:rPr>
          <w:rFonts w:ascii="Times New Roman" w:hAnsi="Times New Roman" w:cs="Times New Roman"/>
          <w:sz w:val="24"/>
          <w:szCs w:val="24"/>
          <w:lang w:val="en-GB"/>
        </w:rPr>
        <w:t>earlier, popular</w:t>
      </w:r>
      <w:r w:rsidR="00073A6E" w:rsidRPr="00D9330B">
        <w:rPr>
          <w:rFonts w:ascii="Times New Roman" w:hAnsi="Times New Roman" w:cs="Times New Roman"/>
          <w:sz w:val="24"/>
          <w:szCs w:val="24"/>
          <w:lang w:val="en-GB"/>
        </w:rPr>
        <w:t xml:space="preserve"> forces were weaker in Brazil than in the Southern</w:t>
      </w:r>
      <w:r w:rsidR="006E0DD8" w:rsidRPr="00D9330B">
        <w:rPr>
          <w:rFonts w:ascii="Times New Roman" w:hAnsi="Times New Roman" w:cs="Times New Roman"/>
          <w:sz w:val="24"/>
          <w:szCs w:val="24"/>
          <w:lang w:val="en-GB"/>
        </w:rPr>
        <w:t xml:space="preserve"> Cone </w:t>
      </w:r>
      <w:r w:rsidR="000D1239" w:rsidRPr="00D9330B">
        <w:rPr>
          <w:rFonts w:ascii="Times New Roman" w:hAnsi="Times New Roman" w:cs="Times New Roman"/>
          <w:sz w:val="24"/>
          <w:szCs w:val="24"/>
          <w:lang w:val="en-GB"/>
        </w:rPr>
        <w:t>pre-1</w:t>
      </w:r>
      <w:r w:rsidR="006E0DD8" w:rsidRPr="00D9330B">
        <w:rPr>
          <w:rFonts w:ascii="Times New Roman" w:hAnsi="Times New Roman" w:cs="Times New Roman"/>
          <w:sz w:val="24"/>
          <w:szCs w:val="24"/>
          <w:lang w:val="en-GB"/>
        </w:rPr>
        <w:t>964</w:t>
      </w:r>
      <w:r w:rsidR="00073A6E" w:rsidRPr="00D9330B">
        <w:rPr>
          <w:rFonts w:ascii="Times New Roman" w:hAnsi="Times New Roman" w:cs="Times New Roman"/>
          <w:sz w:val="24"/>
          <w:szCs w:val="24"/>
          <w:lang w:val="en-GB"/>
        </w:rPr>
        <w:t xml:space="preserve"> largely because Brazil was less developed. However, </w:t>
      </w:r>
      <w:r w:rsidR="00436C65" w:rsidRPr="00D9330B">
        <w:rPr>
          <w:rFonts w:ascii="Times New Roman" w:hAnsi="Times New Roman" w:cs="Times New Roman"/>
          <w:sz w:val="24"/>
          <w:szCs w:val="24"/>
          <w:lang w:val="en-GB"/>
        </w:rPr>
        <w:t>until the early 1980s</w:t>
      </w:r>
      <w:r w:rsidR="00C90AC4" w:rsidRPr="00D9330B">
        <w:rPr>
          <w:rFonts w:ascii="Times New Roman" w:hAnsi="Times New Roman" w:cs="Times New Roman"/>
          <w:sz w:val="24"/>
          <w:szCs w:val="24"/>
          <w:lang w:val="en-GB"/>
        </w:rPr>
        <w:t>,</w:t>
      </w:r>
      <w:r w:rsidR="00BE167C" w:rsidRPr="00D9330B">
        <w:rPr>
          <w:rFonts w:ascii="Times New Roman" w:hAnsi="Times New Roman" w:cs="Times New Roman"/>
          <w:sz w:val="24"/>
          <w:szCs w:val="24"/>
          <w:lang w:val="en-GB"/>
        </w:rPr>
        <w:t xml:space="preserve"> when Brazil bec</w:t>
      </w:r>
      <w:r w:rsidR="006E40A0" w:rsidRPr="00D9330B">
        <w:rPr>
          <w:rFonts w:ascii="Times New Roman" w:hAnsi="Times New Roman" w:cs="Times New Roman"/>
          <w:sz w:val="24"/>
          <w:szCs w:val="24"/>
          <w:lang w:val="en-GB"/>
        </w:rPr>
        <w:t xml:space="preserve">ame mired in </w:t>
      </w:r>
      <w:r w:rsidR="00AC0ED6">
        <w:rPr>
          <w:rFonts w:ascii="Times New Roman" w:hAnsi="Times New Roman" w:cs="Times New Roman"/>
          <w:sz w:val="24"/>
          <w:szCs w:val="24"/>
          <w:lang w:val="en-GB"/>
        </w:rPr>
        <w:t xml:space="preserve">the </w:t>
      </w:r>
      <w:r w:rsidR="006E40A0" w:rsidRPr="00D9330B">
        <w:rPr>
          <w:rFonts w:ascii="Times New Roman" w:hAnsi="Times New Roman" w:cs="Times New Roman"/>
          <w:sz w:val="24"/>
          <w:szCs w:val="24"/>
          <w:lang w:val="en-GB"/>
        </w:rPr>
        <w:t>region-wide debt crisis</w:t>
      </w:r>
      <w:r w:rsidR="00BE167C" w:rsidRPr="00D9330B">
        <w:rPr>
          <w:rFonts w:ascii="Times New Roman" w:hAnsi="Times New Roman" w:cs="Times New Roman"/>
          <w:sz w:val="24"/>
          <w:szCs w:val="24"/>
          <w:lang w:val="en-GB"/>
        </w:rPr>
        <w:t>,</w:t>
      </w:r>
      <w:r w:rsidR="00436C65" w:rsidRPr="00D9330B">
        <w:rPr>
          <w:rFonts w:ascii="Times New Roman" w:hAnsi="Times New Roman" w:cs="Times New Roman"/>
          <w:sz w:val="24"/>
          <w:szCs w:val="24"/>
          <w:lang w:val="en-GB"/>
        </w:rPr>
        <w:t xml:space="preserve"> </w:t>
      </w:r>
      <w:r w:rsidR="00073A6E" w:rsidRPr="00D9330B">
        <w:rPr>
          <w:rFonts w:ascii="Times New Roman" w:hAnsi="Times New Roman" w:cs="Times New Roman"/>
          <w:sz w:val="24"/>
          <w:szCs w:val="24"/>
          <w:lang w:val="en-GB"/>
        </w:rPr>
        <w:t xml:space="preserve">the regime’s consistent policy of state-led </w:t>
      </w:r>
      <w:r w:rsidR="0001374F">
        <w:rPr>
          <w:rFonts w:ascii="Times New Roman" w:hAnsi="Times New Roman" w:cs="Times New Roman"/>
          <w:sz w:val="24"/>
          <w:szCs w:val="24"/>
          <w:lang w:val="en-GB"/>
        </w:rPr>
        <w:t>industrialis</w:t>
      </w:r>
      <w:r w:rsidR="00073A6E" w:rsidRPr="00D9330B">
        <w:rPr>
          <w:rFonts w:ascii="Times New Roman" w:hAnsi="Times New Roman" w:cs="Times New Roman"/>
          <w:sz w:val="24"/>
          <w:szCs w:val="24"/>
          <w:lang w:val="en-GB"/>
        </w:rPr>
        <w:t>ation brough</w:t>
      </w:r>
      <w:r w:rsidR="00AB0440" w:rsidRPr="00D9330B">
        <w:rPr>
          <w:rFonts w:ascii="Times New Roman" w:hAnsi="Times New Roman" w:cs="Times New Roman"/>
          <w:sz w:val="24"/>
          <w:szCs w:val="24"/>
          <w:lang w:val="en-GB"/>
        </w:rPr>
        <w:t>t extraordinary</w:t>
      </w:r>
      <w:r w:rsidR="00436C65" w:rsidRPr="00D9330B">
        <w:rPr>
          <w:rFonts w:ascii="Times New Roman" w:hAnsi="Times New Roman" w:cs="Times New Roman"/>
          <w:sz w:val="24"/>
          <w:szCs w:val="24"/>
          <w:lang w:val="en-GB"/>
        </w:rPr>
        <w:t xml:space="preserve"> growth</w:t>
      </w:r>
      <w:r w:rsidR="00A516F3" w:rsidRPr="00D9330B">
        <w:rPr>
          <w:rFonts w:ascii="Times New Roman" w:hAnsi="Times New Roman" w:cs="Times New Roman"/>
          <w:sz w:val="24"/>
          <w:szCs w:val="24"/>
          <w:lang w:val="en-GB"/>
        </w:rPr>
        <w:t xml:space="preserve"> and</w:t>
      </w:r>
      <w:r w:rsidR="00ED5112" w:rsidRPr="00D9330B">
        <w:rPr>
          <w:rFonts w:ascii="Times New Roman" w:hAnsi="Times New Roman" w:cs="Times New Roman"/>
          <w:sz w:val="24"/>
          <w:szCs w:val="24"/>
          <w:lang w:val="en-GB"/>
        </w:rPr>
        <w:t xml:space="preserve"> socioeconomic</w:t>
      </w:r>
      <w:r w:rsidR="000D1239" w:rsidRPr="00D9330B">
        <w:rPr>
          <w:rFonts w:ascii="Times New Roman" w:hAnsi="Times New Roman" w:cs="Times New Roman"/>
          <w:sz w:val="24"/>
          <w:szCs w:val="24"/>
          <w:lang w:val="en-GB"/>
        </w:rPr>
        <w:t xml:space="preserve"> </w:t>
      </w:r>
      <w:r w:rsidR="00323F4A" w:rsidRPr="00D9330B">
        <w:rPr>
          <w:rFonts w:ascii="Times New Roman" w:hAnsi="Times New Roman" w:cs="Times New Roman"/>
          <w:sz w:val="24"/>
          <w:szCs w:val="24"/>
          <w:lang w:val="en-GB"/>
        </w:rPr>
        <w:t>transformation</w:t>
      </w:r>
      <w:r w:rsidR="000D1239" w:rsidRPr="00D9330B">
        <w:rPr>
          <w:rFonts w:ascii="Times New Roman" w:hAnsi="Times New Roman" w:cs="Times New Roman"/>
          <w:sz w:val="24"/>
          <w:szCs w:val="24"/>
          <w:lang w:val="en-GB"/>
        </w:rPr>
        <w:t>.</w:t>
      </w:r>
      <w:r w:rsidR="00073A6E" w:rsidRPr="00D9330B">
        <w:rPr>
          <w:rFonts w:ascii="Times New Roman" w:hAnsi="Times New Roman" w:cs="Times New Roman"/>
          <w:sz w:val="24"/>
          <w:szCs w:val="24"/>
          <w:lang w:val="en-GB"/>
        </w:rPr>
        <w:t xml:space="preserve"> </w:t>
      </w:r>
      <w:r w:rsidR="009C17F7" w:rsidRPr="00D9330B">
        <w:rPr>
          <w:rFonts w:ascii="Times New Roman" w:hAnsi="Times New Roman" w:cs="Times New Roman"/>
          <w:sz w:val="24"/>
          <w:szCs w:val="24"/>
          <w:lang w:val="en-GB"/>
        </w:rPr>
        <w:t xml:space="preserve">Brazil’s </w:t>
      </w:r>
      <w:r w:rsidR="00AB0440" w:rsidRPr="00D9330B">
        <w:rPr>
          <w:rFonts w:ascii="Times New Roman" w:hAnsi="Times New Roman" w:cs="Times New Roman"/>
          <w:sz w:val="24"/>
          <w:szCs w:val="24"/>
          <w:lang w:val="en-GB"/>
        </w:rPr>
        <w:t xml:space="preserve">economic </w:t>
      </w:r>
      <w:r w:rsidR="009C17F7" w:rsidRPr="00D9330B">
        <w:rPr>
          <w:rFonts w:ascii="Times New Roman" w:hAnsi="Times New Roman" w:cs="Times New Roman"/>
          <w:sz w:val="24"/>
          <w:szCs w:val="24"/>
          <w:lang w:val="en-GB"/>
        </w:rPr>
        <w:t>growth rate in the 1970s was three times the</w:t>
      </w:r>
      <w:r w:rsidR="002854BB" w:rsidRPr="00D9330B">
        <w:rPr>
          <w:rFonts w:ascii="Times New Roman" w:hAnsi="Times New Roman" w:cs="Times New Roman"/>
          <w:sz w:val="24"/>
          <w:szCs w:val="24"/>
          <w:lang w:val="en-GB"/>
        </w:rPr>
        <w:t xml:space="preserve"> Southern Cone average.</w:t>
      </w:r>
      <w:r w:rsidR="002854BB" w:rsidRPr="00D9330B">
        <w:rPr>
          <w:rStyle w:val="FootnoteReference"/>
          <w:rFonts w:ascii="Times New Roman" w:hAnsi="Times New Roman" w:cs="Times New Roman"/>
          <w:sz w:val="24"/>
          <w:szCs w:val="24"/>
          <w:lang w:val="en-GB"/>
        </w:rPr>
        <w:footnoteReference w:id="94"/>
      </w:r>
      <w:r w:rsidR="002854BB" w:rsidRPr="00D9330B">
        <w:rPr>
          <w:rFonts w:ascii="Times New Roman" w:hAnsi="Times New Roman" w:cs="Times New Roman"/>
          <w:sz w:val="24"/>
          <w:szCs w:val="24"/>
          <w:lang w:val="en-GB"/>
        </w:rPr>
        <w:t xml:space="preserve"> </w:t>
      </w:r>
      <w:r w:rsidR="00FA729F" w:rsidRPr="00D9330B">
        <w:rPr>
          <w:rFonts w:ascii="Times New Roman" w:hAnsi="Times New Roman" w:cs="Times New Roman"/>
          <w:sz w:val="24"/>
          <w:szCs w:val="24"/>
          <w:lang w:val="en-GB"/>
        </w:rPr>
        <w:t>As can be seen in Table 4</w:t>
      </w:r>
      <w:r w:rsidR="000A3460" w:rsidRPr="00D9330B">
        <w:rPr>
          <w:rFonts w:ascii="Times New Roman" w:hAnsi="Times New Roman" w:cs="Times New Roman"/>
          <w:sz w:val="24"/>
          <w:szCs w:val="24"/>
          <w:lang w:val="en-GB"/>
        </w:rPr>
        <w:t>, between 1960 and 1980</w:t>
      </w:r>
      <w:r w:rsidR="000D1239" w:rsidRPr="00D9330B">
        <w:rPr>
          <w:rFonts w:ascii="Times New Roman" w:hAnsi="Times New Roman" w:cs="Times New Roman"/>
          <w:sz w:val="24"/>
          <w:szCs w:val="24"/>
          <w:lang w:val="en-GB"/>
        </w:rPr>
        <w:t xml:space="preserve"> Brazil</w:t>
      </w:r>
      <w:r w:rsidR="000A3460" w:rsidRPr="00D9330B">
        <w:rPr>
          <w:rFonts w:ascii="Times New Roman" w:hAnsi="Times New Roman" w:cs="Times New Roman"/>
          <w:sz w:val="24"/>
          <w:szCs w:val="24"/>
          <w:lang w:val="en-GB"/>
        </w:rPr>
        <w:t xml:space="preserve"> became substantially wealthier and</w:t>
      </w:r>
      <w:r w:rsidR="0001374F">
        <w:rPr>
          <w:rFonts w:ascii="Times New Roman" w:hAnsi="Times New Roman" w:cs="Times New Roman"/>
          <w:sz w:val="24"/>
          <w:szCs w:val="24"/>
          <w:lang w:val="en-GB"/>
        </w:rPr>
        <w:t xml:space="preserve"> more industrialis</w:t>
      </w:r>
      <w:r w:rsidR="000A3460" w:rsidRPr="00D9330B">
        <w:rPr>
          <w:rFonts w:ascii="Times New Roman" w:hAnsi="Times New Roman" w:cs="Times New Roman"/>
          <w:sz w:val="24"/>
          <w:szCs w:val="24"/>
          <w:lang w:val="en-GB"/>
        </w:rPr>
        <w:t>ed,</w:t>
      </w:r>
      <w:r w:rsidR="00CD587A" w:rsidRPr="00D9330B">
        <w:rPr>
          <w:rFonts w:ascii="Times New Roman" w:hAnsi="Times New Roman" w:cs="Times New Roman"/>
          <w:sz w:val="24"/>
          <w:szCs w:val="24"/>
          <w:lang w:val="en-GB"/>
        </w:rPr>
        <w:t xml:space="preserve"> urban</w:t>
      </w:r>
      <w:r w:rsidR="000A3460" w:rsidRPr="00D9330B">
        <w:rPr>
          <w:rFonts w:ascii="Times New Roman" w:hAnsi="Times New Roman" w:cs="Times New Roman"/>
          <w:sz w:val="24"/>
          <w:szCs w:val="24"/>
          <w:lang w:val="en-GB"/>
        </w:rPr>
        <w:t xml:space="preserve"> and literate</w:t>
      </w:r>
      <w:r w:rsidR="00073A6E" w:rsidRPr="00D9330B">
        <w:rPr>
          <w:rFonts w:ascii="Times New Roman" w:hAnsi="Times New Roman" w:cs="Times New Roman"/>
          <w:sz w:val="24"/>
          <w:szCs w:val="24"/>
          <w:lang w:val="en-GB"/>
        </w:rPr>
        <w:t>.</w:t>
      </w:r>
    </w:p>
    <w:p w:rsidR="00F912B6" w:rsidRPr="00D9330B" w:rsidRDefault="00F912B6" w:rsidP="00F912B6">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The political correlates of these changes included a denser civil s</w:t>
      </w:r>
      <w:r w:rsidR="00761A4E" w:rsidRPr="00D9330B">
        <w:rPr>
          <w:rFonts w:ascii="Times New Roman" w:hAnsi="Times New Roman" w:cs="Times New Roman"/>
          <w:sz w:val="24"/>
          <w:szCs w:val="24"/>
          <w:lang w:val="en-GB"/>
        </w:rPr>
        <w:t>ociety, a more informed public</w:t>
      </w:r>
      <w:r w:rsidR="000A3460" w:rsidRPr="00D9330B">
        <w:rPr>
          <w:rFonts w:ascii="Times New Roman" w:hAnsi="Times New Roman" w:cs="Times New Roman"/>
          <w:sz w:val="24"/>
          <w:szCs w:val="24"/>
          <w:lang w:val="en-GB"/>
        </w:rPr>
        <w:t>,</w:t>
      </w:r>
      <w:r w:rsidR="006F7FA8" w:rsidRPr="00D9330B">
        <w:rPr>
          <w:rFonts w:ascii="Times New Roman" w:hAnsi="Times New Roman" w:cs="Times New Roman"/>
          <w:sz w:val="24"/>
          <w:szCs w:val="24"/>
          <w:lang w:val="en-GB"/>
        </w:rPr>
        <w:t xml:space="preserve"> a larger state apparatus</w:t>
      </w:r>
      <w:r w:rsidR="00761A4E" w:rsidRPr="00D9330B">
        <w:rPr>
          <w:rFonts w:ascii="Times New Roman" w:hAnsi="Times New Roman" w:cs="Times New Roman"/>
          <w:sz w:val="24"/>
          <w:szCs w:val="24"/>
          <w:lang w:val="en-GB"/>
        </w:rPr>
        <w:t xml:space="preserve"> and the</w:t>
      </w:r>
      <w:r w:rsidR="000D420F" w:rsidRPr="00D9330B">
        <w:rPr>
          <w:rFonts w:ascii="Times New Roman" w:hAnsi="Times New Roman" w:cs="Times New Roman"/>
          <w:sz w:val="24"/>
          <w:szCs w:val="24"/>
          <w:lang w:val="en-GB"/>
        </w:rPr>
        <w:t xml:space="preserve"> gradual decline</w:t>
      </w:r>
      <w:r w:rsidR="00761A4E" w:rsidRPr="00D9330B">
        <w:rPr>
          <w:rFonts w:ascii="Times New Roman" w:hAnsi="Times New Roman" w:cs="Times New Roman"/>
          <w:sz w:val="24"/>
          <w:szCs w:val="24"/>
          <w:lang w:val="en-GB"/>
        </w:rPr>
        <w:t xml:space="preserve"> of</w:t>
      </w:r>
      <w:r w:rsidR="00BE167C" w:rsidRPr="00D9330B">
        <w:rPr>
          <w:rFonts w:ascii="Times New Roman" w:hAnsi="Times New Roman" w:cs="Times New Roman"/>
          <w:sz w:val="24"/>
          <w:szCs w:val="24"/>
          <w:lang w:val="en-GB"/>
        </w:rPr>
        <w:t xml:space="preserve"> rural-based</w:t>
      </w:r>
      <w:r w:rsidR="00760348" w:rsidRPr="00D9330B">
        <w:rPr>
          <w:rFonts w:ascii="Times New Roman" w:hAnsi="Times New Roman" w:cs="Times New Roman"/>
          <w:sz w:val="24"/>
          <w:szCs w:val="24"/>
          <w:lang w:val="en-GB"/>
        </w:rPr>
        <w:t xml:space="preserve"> conservative</w:t>
      </w:r>
      <w:r w:rsidR="00761A4E" w:rsidRPr="00D9330B">
        <w:rPr>
          <w:rFonts w:ascii="Times New Roman" w:hAnsi="Times New Roman" w:cs="Times New Roman"/>
          <w:sz w:val="24"/>
          <w:szCs w:val="24"/>
          <w:lang w:val="en-GB"/>
        </w:rPr>
        <w:t xml:space="preserve"> partie</w:t>
      </w:r>
      <w:r w:rsidR="00760348" w:rsidRPr="00D9330B">
        <w:rPr>
          <w:rFonts w:ascii="Times New Roman" w:hAnsi="Times New Roman" w:cs="Times New Roman"/>
          <w:sz w:val="24"/>
          <w:szCs w:val="24"/>
          <w:lang w:val="en-GB"/>
        </w:rPr>
        <w:t>s</w:t>
      </w:r>
      <w:r w:rsidR="006604C3" w:rsidRPr="00D9330B">
        <w:rPr>
          <w:rFonts w:ascii="Times New Roman" w:hAnsi="Times New Roman" w:cs="Times New Roman"/>
          <w:sz w:val="24"/>
          <w:szCs w:val="24"/>
          <w:lang w:val="en-GB"/>
        </w:rPr>
        <w:t xml:space="preserve"> that in the p</w:t>
      </w:r>
      <w:r w:rsidR="00492533" w:rsidRPr="00D9330B">
        <w:rPr>
          <w:rFonts w:ascii="Times New Roman" w:hAnsi="Times New Roman" w:cs="Times New Roman"/>
          <w:sz w:val="24"/>
          <w:szCs w:val="24"/>
          <w:lang w:val="en-GB"/>
        </w:rPr>
        <w:t>ast had</w:t>
      </w:r>
      <w:r w:rsidR="00080A31" w:rsidRPr="00D9330B">
        <w:rPr>
          <w:rFonts w:ascii="Times New Roman" w:hAnsi="Times New Roman" w:cs="Times New Roman"/>
          <w:sz w:val="24"/>
          <w:szCs w:val="24"/>
          <w:lang w:val="en-GB"/>
        </w:rPr>
        <w:t xml:space="preserve"> counterbalanced</w:t>
      </w:r>
      <w:r w:rsidR="006604C3" w:rsidRPr="00D9330B">
        <w:rPr>
          <w:rFonts w:ascii="Times New Roman" w:hAnsi="Times New Roman" w:cs="Times New Roman"/>
          <w:sz w:val="24"/>
          <w:szCs w:val="24"/>
          <w:lang w:val="en-GB"/>
        </w:rPr>
        <w:t xml:space="preserve"> urban-based forces</w:t>
      </w:r>
      <w:r w:rsidR="0097479C" w:rsidRPr="00D9330B">
        <w:rPr>
          <w:rFonts w:ascii="Times New Roman" w:hAnsi="Times New Roman" w:cs="Times New Roman"/>
          <w:sz w:val="24"/>
          <w:szCs w:val="24"/>
          <w:lang w:val="en-GB"/>
        </w:rPr>
        <w:t>. One of the</w:t>
      </w:r>
      <w:r w:rsidR="007517D0" w:rsidRPr="00D9330B">
        <w:rPr>
          <w:rFonts w:ascii="Times New Roman" w:hAnsi="Times New Roman" w:cs="Times New Roman"/>
          <w:sz w:val="24"/>
          <w:szCs w:val="24"/>
          <w:lang w:val="en-GB"/>
        </w:rPr>
        <w:t xml:space="preserve"> striking</w:t>
      </w:r>
      <w:r w:rsidR="0097479C" w:rsidRPr="00D9330B">
        <w:rPr>
          <w:rFonts w:ascii="Times New Roman" w:hAnsi="Times New Roman" w:cs="Times New Roman"/>
          <w:sz w:val="24"/>
          <w:szCs w:val="24"/>
          <w:lang w:val="en-GB"/>
        </w:rPr>
        <w:t xml:space="preserve"> early manifestations</w:t>
      </w:r>
      <w:r w:rsidR="00BB30BD" w:rsidRPr="00D9330B">
        <w:rPr>
          <w:rFonts w:ascii="Times New Roman" w:hAnsi="Times New Roman" w:cs="Times New Roman"/>
          <w:sz w:val="24"/>
          <w:szCs w:val="24"/>
          <w:lang w:val="en-GB"/>
        </w:rPr>
        <w:t xml:space="preserve"> of this transformation</w:t>
      </w:r>
      <w:r w:rsidRPr="00D9330B">
        <w:rPr>
          <w:rFonts w:ascii="Times New Roman" w:hAnsi="Times New Roman" w:cs="Times New Roman"/>
          <w:sz w:val="24"/>
          <w:szCs w:val="24"/>
          <w:lang w:val="en-GB"/>
        </w:rPr>
        <w:t xml:space="preserve"> was the emergence of a stronger labour movement</w:t>
      </w:r>
      <w:r w:rsidR="004A747B" w:rsidRPr="00D9330B">
        <w:rPr>
          <w:rFonts w:ascii="Times New Roman" w:hAnsi="Times New Roman" w:cs="Times New Roman"/>
          <w:sz w:val="24"/>
          <w:szCs w:val="24"/>
          <w:lang w:val="en-GB"/>
        </w:rPr>
        <w:t xml:space="preserve"> and</w:t>
      </w:r>
      <w:r w:rsidR="00532F3A" w:rsidRPr="00D9330B">
        <w:rPr>
          <w:rFonts w:ascii="Times New Roman" w:hAnsi="Times New Roman" w:cs="Times New Roman"/>
          <w:sz w:val="24"/>
          <w:szCs w:val="24"/>
          <w:lang w:val="en-GB"/>
        </w:rPr>
        <w:t xml:space="preserve"> a</w:t>
      </w:r>
      <w:r w:rsidR="000D1239" w:rsidRPr="00D9330B">
        <w:rPr>
          <w:rFonts w:ascii="Times New Roman" w:hAnsi="Times New Roman" w:cs="Times New Roman"/>
          <w:sz w:val="24"/>
          <w:szCs w:val="24"/>
          <w:lang w:val="en-GB"/>
        </w:rPr>
        <w:t xml:space="preserve"> l</w:t>
      </w:r>
      <w:r w:rsidR="00251F39" w:rsidRPr="00D9330B">
        <w:rPr>
          <w:rFonts w:ascii="Times New Roman" w:hAnsi="Times New Roman" w:cs="Times New Roman"/>
          <w:sz w:val="24"/>
          <w:szCs w:val="24"/>
          <w:lang w:val="en-GB"/>
        </w:rPr>
        <w:t>eftist</w:t>
      </w:r>
      <w:r w:rsidR="00BB30BD" w:rsidRPr="00D9330B">
        <w:rPr>
          <w:rFonts w:ascii="Times New Roman" w:hAnsi="Times New Roman" w:cs="Times New Roman"/>
          <w:sz w:val="24"/>
          <w:szCs w:val="24"/>
          <w:lang w:val="en-GB"/>
        </w:rPr>
        <w:t xml:space="preserve"> party</w:t>
      </w:r>
      <w:r w:rsidR="00532F3A" w:rsidRPr="00D9330B">
        <w:rPr>
          <w:rFonts w:ascii="Times New Roman" w:hAnsi="Times New Roman" w:cs="Times New Roman"/>
          <w:sz w:val="24"/>
          <w:szCs w:val="24"/>
          <w:lang w:val="en-GB"/>
        </w:rPr>
        <w:t>, the PT,</w:t>
      </w:r>
      <w:r w:rsidR="00BB30BD" w:rsidRPr="00D9330B">
        <w:rPr>
          <w:rFonts w:ascii="Times New Roman" w:hAnsi="Times New Roman" w:cs="Times New Roman"/>
          <w:sz w:val="24"/>
          <w:szCs w:val="24"/>
          <w:lang w:val="en-GB"/>
        </w:rPr>
        <w:t xml:space="preserve"> closely associated with</w:t>
      </w:r>
      <w:r w:rsidR="001F6878" w:rsidRPr="00D9330B">
        <w:rPr>
          <w:rFonts w:ascii="Times New Roman" w:hAnsi="Times New Roman" w:cs="Times New Roman"/>
          <w:sz w:val="24"/>
          <w:szCs w:val="24"/>
          <w:lang w:val="en-GB"/>
        </w:rPr>
        <w:t xml:space="preserve"> it</w:t>
      </w:r>
      <w:r w:rsidRPr="00D9330B">
        <w:rPr>
          <w:rFonts w:ascii="Times New Roman" w:hAnsi="Times New Roman" w:cs="Times New Roman"/>
          <w:sz w:val="24"/>
          <w:szCs w:val="24"/>
          <w:lang w:val="en-GB"/>
        </w:rPr>
        <w:t xml:space="preserve">. </w:t>
      </w:r>
      <w:r w:rsidR="00251F39" w:rsidRPr="00D9330B">
        <w:rPr>
          <w:rFonts w:ascii="Times New Roman" w:hAnsi="Times New Roman" w:cs="Times New Roman"/>
          <w:sz w:val="24"/>
          <w:szCs w:val="24"/>
          <w:lang w:val="en-GB"/>
        </w:rPr>
        <w:t>By the early 1980s union density had more than doubled relative to 1960</w:t>
      </w:r>
      <w:r w:rsidR="004A13E9" w:rsidRPr="00D9330B">
        <w:rPr>
          <w:rFonts w:ascii="Times New Roman" w:hAnsi="Times New Roman" w:cs="Times New Roman"/>
          <w:sz w:val="24"/>
          <w:szCs w:val="24"/>
          <w:lang w:val="en-GB"/>
        </w:rPr>
        <w:t>, exceeding 20 per</w:t>
      </w:r>
      <w:r w:rsidR="00EC229D">
        <w:rPr>
          <w:rFonts w:ascii="Times New Roman" w:hAnsi="Times New Roman" w:cs="Times New Roman"/>
          <w:sz w:val="24"/>
          <w:szCs w:val="24"/>
          <w:lang w:val="en-GB"/>
        </w:rPr>
        <w:t xml:space="preserve"> </w:t>
      </w:r>
      <w:r w:rsidR="004A13E9" w:rsidRPr="00D9330B">
        <w:rPr>
          <w:rFonts w:ascii="Times New Roman" w:hAnsi="Times New Roman" w:cs="Times New Roman"/>
          <w:sz w:val="24"/>
          <w:szCs w:val="24"/>
          <w:lang w:val="en-GB"/>
        </w:rPr>
        <w:t>cent of the work force</w:t>
      </w:r>
      <w:r w:rsidR="00251F39" w:rsidRPr="00D9330B">
        <w:rPr>
          <w:rFonts w:ascii="Times New Roman" w:hAnsi="Times New Roman" w:cs="Times New Roman"/>
          <w:sz w:val="24"/>
          <w:szCs w:val="24"/>
          <w:lang w:val="en-GB"/>
        </w:rPr>
        <w:t>.</w:t>
      </w:r>
      <w:r w:rsidR="004A13E9" w:rsidRPr="00D9330B">
        <w:rPr>
          <w:rStyle w:val="FootnoteReference"/>
          <w:rFonts w:ascii="Times New Roman" w:hAnsi="Times New Roman" w:cs="Times New Roman"/>
          <w:sz w:val="24"/>
          <w:szCs w:val="24"/>
          <w:lang w:val="en-GB"/>
        </w:rPr>
        <w:footnoteReference w:id="95"/>
      </w:r>
      <w:r w:rsidR="00251F39"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In the late 1970s</w:t>
      </w:r>
      <w:r w:rsidR="00916755" w:rsidRPr="00D9330B">
        <w:rPr>
          <w:rFonts w:ascii="Times New Roman" w:hAnsi="Times New Roman" w:cs="Times New Roman"/>
          <w:sz w:val="24"/>
          <w:szCs w:val="24"/>
          <w:lang w:val="en-GB"/>
        </w:rPr>
        <w:t xml:space="preserve"> </w:t>
      </w:r>
      <w:r w:rsidR="00E4681F" w:rsidRPr="00D9330B">
        <w:rPr>
          <w:rFonts w:ascii="Times New Roman" w:hAnsi="Times New Roman" w:cs="Times New Roman"/>
          <w:sz w:val="24"/>
          <w:szCs w:val="24"/>
          <w:lang w:val="en-GB"/>
        </w:rPr>
        <w:t>Brazil experienced a series of</w:t>
      </w:r>
      <w:r w:rsidR="002854BB" w:rsidRPr="00D9330B">
        <w:rPr>
          <w:rFonts w:ascii="Times New Roman" w:hAnsi="Times New Roman" w:cs="Times New Roman"/>
          <w:sz w:val="24"/>
          <w:szCs w:val="24"/>
          <w:lang w:val="en-GB"/>
        </w:rPr>
        <w:t xml:space="preserve"> strike</w:t>
      </w:r>
      <w:r w:rsidR="00251F39" w:rsidRPr="00D9330B">
        <w:rPr>
          <w:rFonts w:ascii="Times New Roman" w:hAnsi="Times New Roman" w:cs="Times New Roman"/>
          <w:sz w:val="24"/>
          <w:szCs w:val="24"/>
          <w:lang w:val="en-GB"/>
        </w:rPr>
        <w:t xml:space="preserve"> waves</w:t>
      </w:r>
      <w:r w:rsidR="00F054A1" w:rsidRPr="00D9330B">
        <w:rPr>
          <w:rFonts w:ascii="Times New Roman" w:hAnsi="Times New Roman" w:cs="Times New Roman"/>
          <w:sz w:val="24"/>
          <w:szCs w:val="24"/>
          <w:lang w:val="en-GB"/>
        </w:rPr>
        <w:t xml:space="preserve"> that</w:t>
      </w:r>
      <w:r w:rsidRPr="00D9330B">
        <w:rPr>
          <w:rFonts w:ascii="Times New Roman" w:hAnsi="Times New Roman" w:cs="Times New Roman"/>
          <w:sz w:val="24"/>
          <w:szCs w:val="24"/>
          <w:lang w:val="en-GB"/>
        </w:rPr>
        <w:t xml:space="preserve"> shook the foundations of the military regime and opened a cycle of protest that would eventually encompass many other groups.</w:t>
      </w:r>
      <w:r w:rsidR="002854BB" w:rsidRPr="00D9330B">
        <w:rPr>
          <w:rStyle w:val="FootnoteReference"/>
          <w:rFonts w:ascii="Times New Roman" w:hAnsi="Times New Roman" w:cs="Times New Roman"/>
          <w:sz w:val="24"/>
          <w:szCs w:val="24"/>
          <w:lang w:val="en-GB"/>
        </w:rPr>
        <w:footnoteReference w:id="96"/>
      </w:r>
      <w:r w:rsidR="007D3BA1" w:rsidRPr="00D9330B">
        <w:rPr>
          <w:rFonts w:ascii="Times New Roman" w:hAnsi="Times New Roman" w:cs="Times New Roman"/>
          <w:sz w:val="24"/>
          <w:szCs w:val="24"/>
          <w:lang w:val="en-GB"/>
        </w:rPr>
        <w:t xml:space="preserve"> Leaders of this</w:t>
      </w:r>
      <w:r w:rsidR="00D55E9D" w:rsidRPr="00D9330B">
        <w:rPr>
          <w:rFonts w:ascii="Times New Roman" w:hAnsi="Times New Roman" w:cs="Times New Roman"/>
          <w:sz w:val="24"/>
          <w:szCs w:val="24"/>
          <w:lang w:val="en-GB"/>
        </w:rPr>
        <w:t xml:space="preserve"> movement</w:t>
      </w:r>
      <w:r w:rsidR="00F054A1" w:rsidRPr="00D9330B">
        <w:rPr>
          <w:rFonts w:ascii="Times New Roman" w:hAnsi="Times New Roman" w:cs="Times New Roman"/>
          <w:sz w:val="24"/>
          <w:szCs w:val="24"/>
          <w:lang w:val="en-GB"/>
        </w:rPr>
        <w:t xml:space="preserve"> helped to</w:t>
      </w:r>
      <w:r w:rsidR="0097479C" w:rsidRPr="00D9330B">
        <w:rPr>
          <w:rFonts w:ascii="Times New Roman" w:hAnsi="Times New Roman" w:cs="Times New Roman"/>
          <w:sz w:val="24"/>
          <w:szCs w:val="24"/>
          <w:lang w:val="en-GB"/>
        </w:rPr>
        <w:t xml:space="preserve"> found the </w:t>
      </w:r>
      <w:r w:rsidR="0097479C" w:rsidRPr="00D9330B">
        <w:rPr>
          <w:rFonts w:ascii="Times New Roman" w:hAnsi="Times New Roman" w:cs="Times New Roman"/>
          <w:sz w:val="24"/>
          <w:szCs w:val="24"/>
          <w:lang w:val="en-GB"/>
        </w:rPr>
        <w:lastRenderedPageBreak/>
        <w:t>PT</w:t>
      </w:r>
      <w:r w:rsidR="00F054A1" w:rsidRPr="00D9330B">
        <w:rPr>
          <w:rFonts w:ascii="Times New Roman" w:hAnsi="Times New Roman" w:cs="Times New Roman"/>
          <w:sz w:val="24"/>
          <w:szCs w:val="24"/>
          <w:lang w:val="en-GB"/>
        </w:rPr>
        <w:t xml:space="preserve"> in 1980</w:t>
      </w:r>
      <w:r w:rsidR="001F6878" w:rsidRPr="00D9330B">
        <w:rPr>
          <w:rFonts w:ascii="Times New Roman" w:hAnsi="Times New Roman" w:cs="Times New Roman"/>
          <w:sz w:val="24"/>
          <w:szCs w:val="24"/>
          <w:lang w:val="en-GB"/>
        </w:rPr>
        <w:t xml:space="preserve"> and</w:t>
      </w:r>
      <w:r w:rsidR="00CF02FE" w:rsidRPr="00D9330B">
        <w:rPr>
          <w:rFonts w:ascii="Times New Roman" w:hAnsi="Times New Roman" w:cs="Times New Roman"/>
          <w:sz w:val="24"/>
          <w:szCs w:val="24"/>
          <w:lang w:val="en-GB"/>
        </w:rPr>
        <w:t xml:space="preserve"> created what became</w:t>
      </w:r>
      <w:r w:rsidR="001F6878" w:rsidRPr="00D9330B">
        <w:rPr>
          <w:rFonts w:ascii="Times New Roman" w:hAnsi="Times New Roman" w:cs="Times New Roman"/>
          <w:sz w:val="24"/>
          <w:szCs w:val="24"/>
          <w:lang w:val="en-GB"/>
        </w:rPr>
        <w:t xml:space="preserve"> Brazil’s major labour confederation, the</w:t>
      </w:r>
      <w:r w:rsidR="008D7FD2" w:rsidRPr="00D9330B">
        <w:rPr>
          <w:rFonts w:ascii="Times New Roman" w:hAnsi="Times New Roman" w:cs="Times New Roman"/>
          <w:sz w:val="24"/>
          <w:szCs w:val="24"/>
          <w:lang w:val="en-GB"/>
        </w:rPr>
        <w:t xml:space="preserve"> Central </w:t>
      </w:r>
      <w:proofErr w:type="spellStart"/>
      <w:r w:rsidR="008D7FD2" w:rsidRPr="00D9330B">
        <w:rPr>
          <w:rFonts w:ascii="Times New Roman" w:hAnsi="Times New Roman" w:cs="Times New Roman"/>
          <w:sz w:val="24"/>
          <w:szCs w:val="24"/>
          <w:lang w:val="en-GB"/>
        </w:rPr>
        <w:t>Ú</w:t>
      </w:r>
      <w:r w:rsidR="006F7FA8" w:rsidRPr="00D9330B">
        <w:rPr>
          <w:rFonts w:ascii="Times New Roman" w:hAnsi="Times New Roman" w:cs="Times New Roman"/>
          <w:sz w:val="24"/>
          <w:szCs w:val="24"/>
          <w:lang w:val="en-GB"/>
        </w:rPr>
        <w:t>nica</w:t>
      </w:r>
      <w:proofErr w:type="spellEnd"/>
      <w:r w:rsidR="006F7FA8" w:rsidRPr="00D9330B">
        <w:rPr>
          <w:rFonts w:ascii="Times New Roman" w:hAnsi="Times New Roman" w:cs="Times New Roman"/>
          <w:sz w:val="24"/>
          <w:szCs w:val="24"/>
          <w:lang w:val="en-GB"/>
        </w:rPr>
        <w:t xml:space="preserve"> dos </w:t>
      </w:r>
      <w:proofErr w:type="spellStart"/>
      <w:r w:rsidR="006F7FA8" w:rsidRPr="00D9330B">
        <w:rPr>
          <w:rFonts w:ascii="Times New Roman" w:hAnsi="Times New Roman" w:cs="Times New Roman"/>
          <w:sz w:val="24"/>
          <w:szCs w:val="24"/>
          <w:lang w:val="en-GB"/>
        </w:rPr>
        <w:t>Tra</w:t>
      </w:r>
      <w:r w:rsidR="00705A26" w:rsidRPr="00D9330B">
        <w:rPr>
          <w:rFonts w:ascii="Times New Roman" w:hAnsi="Times New Roman" w:cs="Times New Roman"/>
          <w:sz w:val="24"/>
          <w:szCs w:val="24"/>
          <w:lang w:val="en-GB"/>
        </w:rPr>
        <w:t>balhadores</w:t>
      </w:r>
      <w:proofErr w:type="spellEnd"/>
      <w:r w:rsidR="00705A26" w:rsidRPr="00D9330B">
        <w:rPr>
          <w:rFonts w:ascii="Times New Roman" w:hAnsi="Times New Roman" w:cs="Times New Roman"/>
          <w:sz w:val="24"/>
          <w:szCs w:val="24"/>
          <w:lang w:val="en-GB"/>
        </w:rPr>
        <w:t xml:space="preserve"> (</w:t>
      </w:r>
      <w:r w:rsidR="001F6878" w:rsidRPr="00D9330B">
        <w:rPr>
          <w:rFonts w:ascii="Times New Roman" w:hAnsi="Times New Roman" w:cs="Times New Roman"/>
          <w:sz w:val="24"/>
          <w:szCs w:val="24"/>
          <w:lang w:val="en-GB"/>
        </w:rPr>
        <w:t>Unified</w:t>
      </w:r>
      <w:r w:rsidR="00705A26" w:rsidRPr="00D9330B">
        <w:rPr>
          <w:rFonts w:ascii="Times New Roman" w:hAnsi="Times New Roman" w:cs="Times New Roman"/>
          <w:sz w:val="24"/>
          <w:szCs w:val="24"/>
          <w:lang w:val="en-GB"/>
        </w:rPr>
        <w:t xml:space="preserve"> Workers’ Central, </w:t>
      </w:r>
      <w:r w:rsidR="001F6878" w:rsidRPr="00D9330B">
        <w:rPr>
          <w:rFonts w:ascii="Times New Roman" w:hAnsi="Times New Roman" w:cs="Times New Roman"/>
          <w:sz w:val="24"/>
          <w:szCs w:val="24"/>
          <w:lang w:val="en-GB"/>
        </w:rPr>
        <w:t>CUT)</w:t>
      </w:r>
      <w:r w:rsidR="005C537A" w:rsidRPr="00D9330B">
        <w:rPr>
          <w:rFonts w:ascii="Times New Roman" w:hAnsi="Times New Roman" w:cs="Times New Roman"/>
          <w:sz w:val="24"/>
          <w:szCs w:val="24"/>
          <w:lang w:val="en-GB"/>
        </w:rPr>
        <w:t xml:space="preserve"> in 1983.</w:t>
      </w:r>
    </w:p>
    <w:p w:rsidR="00F054A1" w:rsidRPr="00D9330B" w:rsidRDefault="00C72ECF" w:rsidP="000B0A04">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Over the next three decad</w:t>
      </w:r>
      <w:r w:rsidR="0023207E" w:rsidRPr="00D9330B">
        <w:rPr>
          <w:rFonts w:ascii="Times New Roman" w:hAnsi="Times New Roman" w:cs="Times New Roman"/>
          <w:sz w:val="24"/>
          <w:szCs w:val="24"/>
          <w:lang w:val="en-GB"/>
        </w:rPr>
        <w:t>es urban-based parties</w:t>
      </w:r>
      <w:r w:rsidRPr="00D9330B">
        <w:rPr>
          <w:rFonts w:ascii="Times New Roman" w:hAnsi="Times New Roman" w:cs="Times New Roman"/>
          <w:sz w:val="24"/>
          <w:szCs w:val="24"/>
          <w:lang w:val="en-GB"/>
        </w:rPr>
        <w:t xml:space="preserve"> established a clear predominance in Brazilian politics and the </w:t>
      </w:r>
      <w:r w:rsidR="0023207E" w:rsidRPr="00D9330B">
        <w:rPr>
          <w:rFonts w:ascii="Times New Roman" w:hAnsi="Times New Roman" w:cs="Times New Roman"/>
          <w:sz w:val="24"/>
          <w:szCs w:val="24"/>
          <w:lang w:val="en-GB"/>
        </w:rPr>
        <w:t>PT gradually emerged as the country’s most powerful party</w:t>
      </w:r>
      <w:r w:rsidR="00DC392A">
        <w:rPr>
          <w:rFonts w:ascii="Times New Roman" w:hAnsi="Times New Roman" w:cs="Times New Roman"/>
          <w:sz w:val="24"/>
          <w:szCs w:val="24"/>
          <w:lang w:val="en-GB"/>
        </w:rPr>
        <w:t xml:space="preserve"> at the national level</w:t>
      </w:r>
      <w:r w:rsidRPr="00D9330B">
        <w:rPr>
          <w:rFonts w:ascii="Times New Roman" w:hAnsi="Times New Roman" w:cs="Times New Roman"/>
          <w:sz w:val="24"/>
          <w:szCs w:val="24"/>
          <w:lang w:val="en-GB"/>
        </w:rPr>
        <w:t>.</w:t>
      </w:r>
      <w:r w:rsidR="0097479C" w:rsidRPr="00D9330B">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The</w:t>
      </w:r>
      <w:r w:rsidR="0097479C" w:rsidRPr="00D9330B">
        <w:rPr>
          <w:rFonts w:ascii="Times New Roman" w:hAnsi="Times New Roman" w:cs="Times New Roman"/>
          <w:sz w:val="24"/>
          <w:szCs w:val="24"/>
          <w:lang w:val="en-GB"/>
        </w:rPr>
        <w:t xml:space="preserve"> </w:t>
      </w:r>
      <w:proofErr w:type="spellStart"/>
      <w:r w:rsidR="006D221D" w:rsidRPr="00D9330B">
        <w:rPr>
          <w:rFonts w:ascii="Times New Roman" w:hAnsi="Times New Roman" w:cs="Times New Roman"/>
          <w:sz w:val="24"/>
          <w:szCs w:val="24"/>
          <w:lang w:val="en-GB"/>
        </w:rPr>
        <w:t>Partido</w:t>
      </w:r>
      <w:proofErr w:type="spellEnd"/>
      <w:r w:rsidR="006D221D" w:rsidRPr="00D9330B">
        <w:rPr>
          <w:rFonts w:ascii="Times New Roman" w:hAnsi="Times New Roman" w:cs="Times New Roman"/>
          <w:sz w:val="24"/>
          <w:szCs w:val="24"/>
          <w:lang w:val="en-GB"/>
        </w:rPr>
        <w:t xml:space="preserve"> da </w:t>
      </w:r>
      <w:r w:rsidR="00705286" w:rsidRPr="00D9330B">
        <w:rPr>
          <w:rFonts w:ascii="Times New Roman" w:hAnsi="Times New Roman" w:cs="Times New Roman"/>
          <w:sz w:val="24"/>
          <w:szCs w:val="24"/>
          <w:lang w:val="en-GB"/>
        </w:rPr>
        <w:t xml:space="preserve">Social </w:t>
      </w:r>
      <w:proofErr w:type="spellStart"/>
      <w:r w:rsidR="006D221D" w:rsidRPr="00D9330B">
        <w:rPr>
          <w:rFonts w:ascii="Times New Roman" w:hAnsi="Times New Roman" w:cs="Times New Roman"/>
          <w:sz w:val="24"/>
          <w:szCs w:val="24"/>
          <w:lang w:val="en-GB"/>
        </w:rPr>
        <w:t>Democraci</w:t>
      </w:r>
      <w:r w:rsidR="00705286">
        <w:rPr>
          <w:rFonts w:ascii="Times New Roman" w:hAnsi="Times New Roman" w:cs="Times New Roman"/>
          <w:sz w:val="24"/>
          <w:szCs w:val="24"/>
          <w:lang w:val="en-GB"/>
        </w:rPr>
        <w:t>a</w:t>
      </w:r>
      <w:proofErr w:type="spellEnd"/>
      <w:r w:rsidR="00705286">
        <w:rPr>
          <w:rFonts w:ascii="Times New Roman" w:hAnsi="Times New Roman" w:cs="Times New Roman"/>
          <w:sz w:val="24"/>
          <w:szCs w:val="24"/>
          <w:lang w:val="en-GB"/>
        </w:rPr>
        <w:t xml:space="preserve"> </w:t>
      </w:r>
      <w:proofErr w:type="spellStart"/>
      <w:r w:rsidR="00705A26" w:rsidRPr="00D9330B">
        <w:rPr>
          <w:rFonts w:ascii="Times New Roman" w:hAnsi="Times New Roman" w:cs="Times New Roman"/>
          <w:sz w:val="24"/>
          <w:szCs w:val="24"/>
          <w:lang w:val="en-GB"/>
        </w:rPr>
        <w:t>Brasileira</w:t>
      </w:r>
      <w:proofErr w:type="spellEnd"/>
      <w:r w:rsidR="00705A26" w:rsidRPr="00D9330B">
        <w:rPr>
          <w:rFonts w:ascii="Times New Roman" w:hAnsi="Times New Roman" w:cs="Times New Roman"/>
          <w:sz w:val="24"/>
          <w:szCs w:val="24"/>
          <w:lang w:val="en-GB"/>
        </w:rPr>
        <w:t xml:space="preserve"> (</w:t>
      </w:r>
      <w:r w:rsidR="0097479C" w:rsidRPr="00D9330B">
        <w:rPr>
          <w:rFonts w:ascii="Times New Roman" w:hAnsi="Times New Roman" w:cs="Times New Roman"/>
          <w:sz w:val="24"/>
          <w:szCs w:val="24"/>
          <w:lang w:val="en-GB"/>
        </w:rPr>
        <w:t>Party</w:t>
      </w:r>
      <w:r w:rsidR="00705A26" w:rsidRPr="00D9330B">
        <w:rPr>
          <w:rFonts w:ascii="Times New Roman" w:hAnsi="Times New Roman" w:cs="Times New Roman"/>
          <w:sz w:val="24"/>
          <w:szCs w:val="24"/>
          <w:lang w:val="en-GB"/>
        </w:rPr>
        <w:t xml:space="preserve"> of Brazilian Social Democracy, </w:t>
      </w:r>
      <w:r w:rsidR="0097479C" w:rsidRPr="00D9330B">
        <w:rPr>
          <w:rFonts w:ascii="Times New Roman" w:hAnsi="Times New Roman" w:cs="Times New Roman"/>
          <w:sz w:val="24"/>
          <w:szCs w:val="24"/>
          <w:lang w:val="en-GB"/>
        </w:rPr>
        <w:t>PSDB)</w:t>
      </w:r>
      <w:r w:rsidRPr="00D9330B">
        <w:rPr>
          <w:rFonts w:ascii="Times New Roman" w:hAnsi="Times New Roman" w:cs="Times New Roman"/>
          <w:sz w:val="24"/>
          <w:szCs w:val="24"/>
          <w:lang w:val="en-GB"/>
        </w:rPr>
        <w:t xml:space="preserve">, </w:t>
      </w:r>
      <w:r w:rsidR="00532F3A" w:rsidRPr="00D9330B">
        <w:rPr>
          <w:rFonts w:ascii="Times New Roman" w:hAnsi="Times New Roman" w:cs="Times New Roman"/>
          <w:sz w:val="24"/>
          <w:szCs w:val="24"/>
          <w:lang w:val="en-GB"/>
        </w:rPr>
        <w:t xml:space="preserve">a centrist party with </w:t>
      </w:r>
      <w:r w:rsidR="002D7D8D" w:rsidRPr="00D9330B">
        <w:rPr>
          <w:rFonts w:ascii="Times New Roman" w:hAnsi="Times New Roman" w:cs="Times New Roman"/>
          <w:sz w:val="24"/>
          <w:szCs w:val="24"/>
          <w:lang w:val="en-GB"/>
        </w:rPr>
        <w:t>strong ties to the urban middle class</w:t>
      </w:r>
      <w:r w:rsidRPr="00D9330B">
        <w:rPr>
          <w:rFonts w:ascii="Times New Roman" w:hAnsi="Times New Roman" w:cs="Times New Roman"/>
          <w:sz w:val="24"/>
          <w:szCs w:val="24"/>
          <w:lang w:val="en-GB"/>
        </w:rPr>
        <w:t>, con</w:t>
      </w:r>
      <w:r w:rsidR="002E11C2" w:rsidRPr="00D9330B">
        <w:rPr>
          <w:rFonts w:ascii="Times New Roman" w:hAnsi="Times New Roman" w:cs="Times New Roman"/>
          <w:sz w:val="24"/>
          <w:szCs w:val="24"/>
          <w:lang w:val="en-GB"/>
        </w:rPr>
        <w:t>trolled the presidency from 1995</w:t>
      </w:r>
      <w:r w:rsidRPr="00D9330B">
        <w:rPr>
          <w:rFonts w:ascii="Times New Roman" w:hAnsi="Times New Roman" w:cs="Times New Roman"/>
          <w:sz w:val="24"/>
          <w:szCs w:val="24"/>
          <w:lang w:val="en-GB"/>
        </w:rPr>
        <w:t xml:space="preserve"> to 2002. Since</w:t>
      </w:r>
      <w:r w:rsidR="00474501" w:rsidRPr="00D9330B">
        <w:rPr>
          <w:rFonts w:ascii="Times New Roman" w:hAnsi="Times New Roman" w:cs="Times New Roman"/>
          <w:sz w:val="24"/>
          <w:szCs w:val="24"/>
          <w:lang w:val="en-GB"/>
        </w:rPr>
        <w:t xml:space="preserve"> 2003 the PT has governed</w:t>
      </w:r>
      <w:r w:rsidR="00FD2DBD" w:rsidRPr="00D9330B">
        <w:rPr>
          <w:rFonts w:ascii="Times New Roman" w:hAnsi="Times New Roman" w:cs="Times New Roman"/>
          <w:sz w:val="24"/>
          <w:szCs w:val="24"/>
          <w:lang w:val="en-GB"/>
        </w:rPr>
        <w:t xml:space="preserve"> as the leader of a centre-left coalition.</w:t>
      </w:r>
      <w:r w:rsidR="0023207E" w:rsidRPr="00D9330B">
        <w:rPr>
          <w:rFonts w:ascii="Times New Roman" w:hAnsi="Times New Roman" w:cs="Times New Roman"/>
          <w:sz w:val="24"/>
          <w:szCs w:val="24"/>
          <w:lang w:val="en-GB"/>
        </w:rPr>
        <w:t xml:space="preserve"> </w:t>
      </w:r>
      <w:r w:rsidR="00FD2DBD" w:rsidRPr="00D9330B">
        <w:rPr>
          <w:rFonts w:ascii="Times New Roman" w:hAnsi="Times New Roman" w:cs="Times New Roman"/>
          <w:sz w:val="24"/>
          <w:szCs w:val="24"/>
          <w:lang w:val="en-GB"/>
        </w:rPr>
        <w:t>In recent years the PT has improved its electoral performance</w:t>
      </w:r>
      <w:r w:rsidR="00FF0853" w:rsidRPr="00D9330B">
        <w:rPr>
          <w:rFonts w:ascii="Times New Roman" w:hAnsi="Times New Roman" w:cs="Times New Roman"/>
          <w:sz w:val="24"/>
          <w:szCs w:val="24"/>
          <w:lang w:val="en-GB"/>
        </w:rPr>
        <w:t xml:space="preserve"> in</w:t>
      </w:r>
      <w:r w:rsidR="00F80FC4" w:rsidRPr="00D9330B">
        <w:rPr>
          <w:rFonts w:ascii="Times New Roman" w:hAnsi="Times New Roman" w:cs="Times New Roman"/>
          <w:sz w:val="24"/>
          <w:szCs w:val="24"/>
          <w:lang w:val="en-GB"/>
        </w:rPr>
        <w:t xml:space="preserve"> rural areas, largel</w:t>
      </w:r>
      <w:r w:rsidR="006518AD">
        <w:rPr>
          <w:rFonts w:ascii="Times New Roman" w:hAnsi="Times New Roman" w:cs="Times New Roman"/>
          <w:sz w:val="24"/>
          <w:szCs w:val="24"/>
          <w:lang w:val="en-GB"/>
        </w:rPr>
        <w:t xml:space="preserve">y </w:t>
      </w:r>
      <w:r w:rsidR="0001150F">
        <w:rPr>
          <w:rFonts w:ascii="Times New Roman" w:hAnsi="Times New Roman" w:cs="Times New Roman"/>
          <w:sz w:val="24"/>
          <w:szCs w:val="24"/>
          <w:lang w:val="en-GB"/>
        </w:rPr>
        <w:t>because of its social</w:t>
      </w:r>
      <w:r w:rsidR="00552066">
        <w:rPr>
          <w:rFonts w:ascii="Times New Roman" w:hAnsi="Times New Roman" w:cs="Times New Roman"/>
          <w:sz w:val="24"/>
          <w:szCs w:val="24"/>
          <w:lang w:val="en-GB"/>
        </w:rPr>
        <w:t xml:space="preserve"> policy</w:t>
      </w:r>
      <w:r w:rsidR="00F80FC4" w:rsidRPr="00D9330B">
        <w:rPr>
          <w:rFonts w:ascii="Times New Roman" w:hAnsi="Times New Roman" w:cs="Times New Roman"/>
          <w:sz w:val="24"/>
          <w:szCs w:val="24"/>
          <w:lang w:val="en-GB"/>
        </w:rPr>
        <w:t xml:space="preserve"> initiatives, but the </w:t>
      </w:r>
      <w:r w:rsidR="001F6878" w:rsidRPr="00D9330B">
        <w:rPr>
          <w:rFonts w:ascii="Times New Roman" w:hAnsi="Times New Roman" w:cs="Times New Roman"/>
          <w:sz w:val="24"/>
          <w:szCs w:val="24"/>
          <w:lang w:val="en-GB"/>
        </w:rPr>
        <w:t>party</w:t>
      </w:r>
      <w:r w:rsidR="00FD2DBD" w:rsidRPr="00D9330B">
        <w:rPr>
          <w:rFonts w:ascii="Times New Roman" w:hAnsi="Times New Roman" w:cs="Times New Roman"/>
          <w:sz w:val="24"/>
          <w:szCs w:val="24"/>
          <w:lang w:val="en-GB"/>
        </w:rPr>
        <w:t xml:space="preserve"> came to power mainly by appealing to </w:t>
      </w:r>
      <w:r w:rsidR="00180F75" w:rsidRPr="00D9330B">
        <w:rPr>
          <w:rFonts w:ascii="Times New Roman" w:hAnsi="Times New Roman" w:cs="Times New Roman"/>
          <w:sz w:val="24"/>
          <w:szCs w:val="24"/>
          <w:lang w:val="en-GB"/>
        </w:rPr>
        <w:t>urban voters</w:t>
      </w:r>
      <w:r w:rsidR="00C26FEE" w:rsidRPr="00D9330B">
        <w:rPr>
          <w:rFonts w:ascii="Times New Roman" w:hAnsi="Times New Roman" w:cs="Times New Roman"/>
          <w:sz w:val="24"/>
          <w:szCs w:val="24"/>
          <w:lang w:val="en-GB"/>
        </w:rPr>
        <w:t xml:space="preserve"> attracted to </w:t>
      </w:r>
      <w:r w:rsidR="00FD2DBD" w:rsidRPr="00D9330B">
        <w:rPr>
          <w:rFonts w:ascii="Times New Roman" w:hAnsi="Times New Roman" w:cs="Times New Roman"/>
          <w:sz w:val="24"/>
          <w:szCs w:val="24"/>
          <w:lang w:val="en-GB"/>
        </w:rPr>
        <w:t>its message of</w:t>
      </w:r>
      <w:r w:rsidR="008D7FD2" w:rsidRPr="00D9330B">
        <w:rPr>
          <w:rFonts w:ascii="Times New Roman" w:hAnsi="Times New Roman" w:cs="Times New Roman"/>
          <w:sz w:val="24"/>
          <w:szCs w:val="24"/>
          <w:lang w:val="en-GB"/>
        </w:rPr>
        <w:t xml:space="preserve"> social equity and</w:t>
      </w:r>
      <w:r w:rsidR="00FD2DBD" w:rsidRPr="00D9330B">
        <w:rPr>
          <w:rFonts w:ascii="Times New Roman" w:hAnsi="Times New Roman" w:cs="Times New Roman"/>
          <w:sz w:val="24"/>
          <w:szCs w:val="24"/>
          <w:lang w:val="en-GB"/>
        </w:rPr>
        <w:t xml:space="preserve"> cl</w:t>
      </w:r>
      <w:r w:rsidR="008D7FD2" w:rsidRPr="00D9330B">
        <w:rPr>
          <w:rFonts w:ascii="Times New Roman" w:hAnsi="Times New Roman" w:cs="Times New Roman"/>
          <w:sz w:val="24"/>
          <w:szCs w:val="24"/>
          <w:lang w:val="en-GB"/>
        </w:rPr>
        <w:t>ean governance</w:t>
      </w:r>
      <w:r w:rsidR="00FD2DBD" w:rsidRPr="00D9330B">
        <w:rPr>
          <w:rFonts w:ascii="Times New Roman" w:hAnsi="Times New Roman" w:cs="Times New Roman"/>
          <w:sz w:val="24"/>
          <w:szCs w:val="24"/>
          <w:lang w:val="en-GB"/>
        </w:rPr>
        <w:t>.</w:t>
      </w:r>
      <w:r w:rsidR="00AE1FAD" w:rsidRPr="00D9330B">
        <w:rPr>
          <w:rFonts w:ascii="Times New Roman" w:hAnsi="Times New Roman" w:cs="Times New Roman"/>
          <w:sz w:val="24"/>
          <w:szCs w:val="24"/>
          <w:lang w:val="en-GB"/>
        </w:rPr>
        <w:t xml:space="preserve"> Although the PT’s largest ally, the</w:t>
      </w:r>
      <w:r w:rsidR="00FD2DBD" w:rsidRPr="00D9330B">
        <w:rPr>
          <w:rFonts w:ascii="Times New Roman" w:hAnsi="Times New Roman" w:cs="Times New Roman"/>
          <w:sz w:val="24"/>
          <w:szCs w:val="24"/>
          <w:lang w:val="en-GB"/>
        </w:rPr>
        <w:t xml:space="preserve"> centrist</w:t>
      </w:r>
      <w:r w:rsidR="00310388" w:rsidRPr="00D9330B">
        <w:rPr>
          <w:rFonts w:ascii="Times New Roman" w:hAnsi="Times New Roman" w:cs="Times New Roman"/>
          <w:sz w:val="24"/>
          <w:szCs w:val="24"/>
          <w:lang w:val="en-GB"/>
        </w:rPr>
        <w:t xml:space="preserve"> </w:t>
      </w:r>
      <w:proofErr w:type="spellStart"/>
      <w:r w:rsidR="00310388" w:rsidRPr="00D9330B">
        <w:rPr>
          <w:rFonts w:ascii="Times New Roman" w:hAnsi="Times New Roman" w:cs="Times New Roman"/>
          <w:sz w:val="24"/>
          <w:szCs w:val="24"/>
          <w:lang w:val="en-GB"/>
        </w:rPr>
        <w:t>Partido</w:t>
      </w:r>
      <w:proofErr w:type="spellEnd"/>
      <w:r w:rsidR="00310388" w:rsidRPr="00D9330B">
        <w:rPr>
          <w:rFonts w:ascii="Times New Roman" w:hAnsi="Times New Roman" w:cs="Times New Roman"/>
          <w:sz w:val="24"/>
          <w:szCs w:val="24"/>
          <w:lang w:val="en-GB"/>
        </w:rPr>
        <w:t xml:space="preserve"> do </w:t>
      </w:r>
      <w:proofErr w:type="spellStart"/>
      <w:r w:rsidR="00310388" w:rsidRPr="00D9330B">
        <w:rPr>
          <w:rFonts w:ascii="Times New Roman" w:hAnsi="Times New Roman" w:cs="Times New Roman"/>
          <w:sz w:val="24"/>
          <w:szCs w:val="24"/>
          <w:lang w:val="en-GB"/>
        </w:rPr>
        <w:t>Movimento</w:t>
      </w:r>
      <w:proofErr w:type="spellEnd"/>
      <w:r w:rsidR="00310388" w:rsidRPr="00D9330B">
        <w:rPr>
          <w:rFonts w:ascii="Times New Roman" w:hAnsi="Times New Roman" w:cs="Times New Roman"/>
          <w:sz w:val="24"/>
          <w:szCs w:val="24"/>
          <w:lang w:val="en-GB"/>
        </w:rPr>
        <w:t xml:space="preserve"> </w:t>
      </w:r>
      <w:proofErr w:type="spellStart"/>
      <w:r w:rsidR="00310388" w:rsidRPr="00D9330B">
        <w:rPr>
          <w:rFonts w:ascii="Times New Roman" w:hAnsi="Times New Roman" w:cs="Times New Roman"/>
          <w:sz w:val="24"/>
          <w:szCs w:val="24"/>
          <w:lang w:val="en-GB"/>
        </w:rPr>
        <w:t>Democrático</w:t>
      </w:r>
      <w:proofErr w:type="spellEnd"/>
      <w:r w:rsidR="00310388" w:rsidRPr="00D9330B">
        <w:rPr>
          <w:rFonts w:ascii="Times New Roman" w:hAnsi="Times New Roman" w:cs="Times New Roman"/>
          <w:sz w:val="24"/>
          <w:szCs w:val="24"/>
          <w:lang w:val="en-GB"/>
        </w:rPr>
        <w:t xml:space="preserve"> </w:t>
      </w:r>
      <w:proofErr w:type="spellStart"/>
      <w:r w:rsidR="00310388" w:rsidRPr="00D9330B">
        <w:rPr>
          <w:rFonts w:ascii="Times New Roman" w:hAnsi="Times New Roman" w:cs="Times New Roman"/>
          <w:sz w:val="24"/>
          <w:szCs w:val="24"/>
          <w:lang w:val="en-GB"/>
        </w:rPr>
        <w:t>Brasileiro</w:t>
      </w:r>
      <w:proofErr w:type="spellEnd"/>
      <w:r w:rsidR="00310388" w:rsidRPr="00D9330B">
        <w:rPr>
          <w:rFonts w:ascii="Times New Roman" w:hAnsi="Times New Roman" w:cs="Times New Roman"/>
          <w:sz w:val="24"/>
          <w:szCs w:val="24"/>
          <w:lang w:val="en-GB"/>
        </w:rPr>
        <w:t xml:space="preserve"> (</w:t>
      </w:r>
      <w:r w:rsidR="00FD2DBD" w:rsidRPr="00D9330B">
        <w:rPr>
          <w:rFonts w:ascii="Times New Roman" w:hAnsi="Times New Roman" w:cs="Times New Roman"/>
          <w:sz w:val="24"/>
          <w:szCs w:val="24"/>
          <w:lang w:val="en-GB"/>
        </w:rPr>
        <w:t>Party of the Brazilian Democratic M</w:t>
      </w:r>
      <w:r w:rsidR="00310388" w:rsidRPr="00D9330B">
        <w:rPr>
          <w:rFonts w:ascii="Times New Roman" w:hAnsi="Times New Roman" w:cs="Times New Roman"/>
          <w:sz w:val="24"/>
          <w:szCs w:val="24"/>
          <w:lang w:val="en-GB"/>
        </w:rPr>
        <w:t xml:space="preserve">ovement, </w:t>
      </w:r>
      <w:r w:rsidR="00AE1FAD" w:rsidRPr="00D9330B">
        <w:rPr>
          <w:rFonts w:ascii="Times New Roman" w:hAnsi="Times New Roman" w:cs="Times New Roman"/>
          <w:sz w:val="24"/>
          <w:szCs w:val="24"/>
          <w:lang w:val="en-GB"/>
        </w:rPr>
        <w:t>PMDB)</w:t>
      </w:r>
      <w:r w:rsidR="00F80FC4" w:rsidRPr="00D9330B">
        <w:rPr>
          <w:rFonts w:ascii="Times New Roman" w:hAnsi="Times New Roman" w:cs="Times New Roman"/>
          <w:sz w:val="24"/>
          <w:szCs w:val="24"/>
          <w:lang w:val="en-GB"/>
        </w:rPr>
        <w:t xml:space="preserve"> derives some</w:t>
      </w:r>
      <w:r w:rsidR="00474501" w:rsidRPr="00D9330B">
        <w:rPr>
          <w:rFonts w:ascii="Times New Roman" w:hAnsi="Times New Roman" w:cs="Times New Roman"/>
          <w:sz w:val="24"/>
          <w:szCs w:val="24"/>
          <w:lang w:val="en-GB"/>
        </w:rPr>
        <w:t xml:space="preserve"> strength from </w:t>
      </w:r>
      <w:r w:rsidR="00F80FC4" w:rsidRPr="00D9330B">
        <w:rPr>
          <w:rFonts w:ascii="Times New Roman" w:hAnsi="Times New Roman" w:cs="Times New Roman"/>
          <w:sz w:val="24"/>
          <w:szCs w:val="24"/>
          <w:lang w:val="en-GB"/>
        </w:rPr>
        <w:t xml:space="preserve">small-town </w:t>
      </w:r>
      <w:proofErr w:type="spellStart"/>
      <w:r w:rsidR="00F80FC4" w:rsidRPr="00D9330B">
        <w:rPr>
          <w:rFonts w:ascii="Times New Roman" w:hAnsi="Times New Roman" w:cs="Times New Roman"/>
          <w:sz w:val="24"/>
          <w:szCs w:val="24"/>
          <w:lang w:val="en-GB"/>
        </w:rPr>
        <w:t>clientelism</w:t>
      </w:r>
      <w:proofErr w:type="spellEnd"/>
      <w:r w:rsidR="00474501" w:rsidRPr="00D9330B">
        <w:rPr>
          <w:rFonts w:ascii="Times New Roman" w:hAnsi="Times New Roman" w:cs="Times New Roman"/>
          <w:sz w:val="24"/>
          <w:szCs w:val="24"/>
          <w:lang w:val="en-GB"/>
        </w:rPr>
        <w:t>, the conservative</w:t>
      </w:r>
      <w:r w:rsidR="007517D0" w:rsidRPr="00D9330B">
        <w:rPr>
          <w:rFonts w:ascii="Times New Roman" w:hAnsi="Times New Roman" w:cs="Times New Roman"/>
          <w:sz w:val="24"/>
          <w:szCs w:val="24"/>
          <w:lang w:val="en-GB"/>
        </w:rPr>
        <w:t xml:space="preserve"> partie</w:t>
      </w:r>
      <w:r w:rsidR="00AE1FAD" w:rsidRPr="00D9330B">
        <w:rPr>
          <w:rFonts w:ascii="Times New Roman" w:hAnsi="Times New Roman" w:cs="Times New Roman"/>
          <w:sz w:val="24"/>
          <w:szCs w:val="24"/>
          <w:lang w:val="en-GB"/>
        </w:rPr>
        <w:t>s most dependent on this type of linkage</w:t>
      </w:r>
      <w:r w:rsidR="00474501" w:rsidRPr="00D9330B">
        <w:rPr>
          <w:rFonts w:ascii="Times New Roman" w:hAnsi="Times New Roman" w:cs="Times New Roman"/>
          <w:sz w:val="24"/>
          <w:szCs w:val="24"/>
          <w:lang w:val="en-GB"/>
        </w:rPr>
        <w:t xml:space="preserve"> have lost ground.</w:t>
      </w:r>
    </w:p>
    <w:p w:rsidR="004A747B" w:rsidRPr="00D9330B" w:rsidRDefault="00251F39" w:rsidP="000B0A04">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In other words, the socioecono</w:t>
      </w:r>
      <w:r w:rsidR="006873C6" w:rsidRPr="00D9330B">
        <w:rPr>
          <w:rFonts w:ascii="Times New Roman" w:hAnsi="Times New Roman" w:cs="Times New Roman"/>
          <w:sz w:val="24"/>
          <w:szCs w:val="24"/>
          <w:lang w:val="en-GB"/>
        </w:rPr>
        <w:t>mic chang</w:t>
      </w:r>
      <w:r w:rsidR="00236C1A" w:rsidRPr="00D9330B">
        <w:rPr>
          <w:rFonts w:ascii="Times New Roman" w:hAnsi="Times New Roman" w:cs="Times New Roman"/>
          <w:sz w:val="24"/>
          <w:szCs w:val="24"/>
          <w:lang w:val="en-GB"/>
        </w:rPr>
        <w:t>es of the military era</w:t>
      </w:r>
      <w:r w:rsidR="00894A57" w:rsidRPr="00D9330B">
        <w:rPr>
          <w:rFonts w:ascii="Times New Roman" w:hAnsi="Times New Roman" w:cs="Times New Roman"/>
          <w:sz w:val="24"/>
          <w:szCs w:val="24"/>
          <w:lang w:val="en-GB"/>
        </w:rPr>
        <w:t xml:space="preserve"> also</w:t>
      </w:r>
      <w:r w:rsidR="006873C6" w:rsidRPr="00D9330B">
        <w:rPr>
          <w:rFonts w:ascii="Times New Roman" w:hAnsi="Times New Roman" w:cs="Times New Roman"/>
          <w:sz w:val="24"/>
          <w:szCs w:val="24"/>
          <w:lang w:val="en-GB"/>
        </w:rPr>
        <w:t xml:space="preserve"> helped to c</w:t>
      </w:r>
      <w:r w:rsidR="008B2FD9" w:rsidRPr="00D9330B">
        <w:rPr>
          <w:rFonts w:ascii="Times New Roman" w:hAnsi="Times New Roman" w:cs="Times New Roman"/>
          <w:sz w:val="24"/>
          <w:szCs w:val="24"/>
          <w:lang w:val="en-GB"/>
        </w:rPr>
        <w:t>reate a popular sector more closely resembling</w:t>
      </w:r>
      <w:r w:rsidR="00236C1A" w:rsidRPr="00D9330B">
        <w:rPr>
          <w:rFonts w:ascii="Times New Roman" w:hAnsi="Times New Roman" w:cs="Times New Roman"/>
          <w:sz w:val="24"/>
          <w:szCs w:val="24"/>
          <w:lang w:val="en-GB"/>
        </w:rPr>
        <w:t xml:space="preserve"> those of</w:t>
      </w:r>
      <w:r w:rsidR="006873C6" w:rsidRPr="00D9330B">
        <w:rPr>
          <w:rFonts w:ascii="Times New Roman" w:hAnsi="Times New Roman" w:cs="Times New Roman"/>
          <w:sz w:val="24"/>
          <w:szCs w:val="24"/>
          <w:lang w:val="en-GB"/>
        </w:rPr>
        <w:t xml:space="preserve"> the Southern Cone before the 1970s.</w:t>
      </w:r>
      <w:r w:rsidR="004A747B" w:rsidRPr="00D9330B">
        <w:rPr>
          <w:rFonts w:ascii="Times New Roman" w:hAnsi="Times New Roman" w:cs="Times New Roman"/>
          <w:sz w:val="24"/>
          <w:szCs w:val="24"/>
          <w:lang w:val="en-GB"/>
        </w:rPr>
        <w:t xml:space="preserve"> </w:t>
      </w:r>
      <w:r w:rsidR="00BD55D1" w:rsidRPr="00D9330B">
        <w:rPr>
          <w:rFonts w:ascii="Times New Roman" w:hAnsi="Times New Roman" w:cs="Times New Roman"/>
          <w:sz w:val="24"/>
          <w:szCs w:val="24"/>
          <w:lang w:val="en-GB"/>
        </w:rPr>
        <w:t>At the same time</w:t>
      </w:r>
      <w:r w:rsidR="004A747B" w:rsidRPr="00D9330B">
        <w:rPr>
          <w:rFonts w:ascii="Times New Roman" w:hAnsi="Times New Roman" w:cs="Times New Roman"/>
          <w:sz w:val="24"/>
          <w:szCs w:val="24"/>
          <w:lang w:val="en-GB"/>
        </w:rPr>
        <w:t xml:space="preserve"> th</w:t>
      </w:r>
      <w:r w:rsidR="008B2FD9" w:rsidRPr="00D9330B">
        <w:rPr>
          <w:rFonts w:ascii="Times New Roman" w:hAnsi="Times New Roman" w:cs="Times New Roman"/>
          <w:sz w:val="24"/>
          <w:szCs w:val="24"/>
          <w:lang w:val="en-GB"/>
        </w:rPr>
        <w:t>e continuatio</w:t>
      </w:r>
      <w:r w:rsidR="001A3E4A" w:rsidRPr="00D9330B">
        <w:rPr>
          <w:rFonts w:ascii="Times New Roman" w:hAnsi="Times New Roman" w:cs="Times New Roman"/>
          <w:sz w:val="24"/>
          <w:szCs w:val="24"/>
          <w:lang w:val="en-GB"/>
        </w:rPr>
        <w:t>n and comparative success of</w:t>
      </w:r>
      <w:r w:rsidR="007D3419" w:rsidRPr="00D9330B">
        <w:rPr>
          <w:rFonts w:ascii="Times New Roman" w:hAnsi="Times New Roman" w:cs="Times New Roman"/>
          <w:sz w:val="24"/>
          <w:szCs w:val="24"/>
          <w:lang w:val="en-GB"/>
        </w:rPr>
        <w:t xml:space="preserve"> state-led</w:t>
      </w:r>
      <w:r w:rsidR="008B2FD9" w:rsidRPr="00D9330B">
        <w:rPr>
          <w:rFonts w:ascii="Times New Roman" w:hAnsi="Times New Roman" w:cs="Times New Roman"/>
          <w:sz w:val="24"/>
          <w:szCs w:val="24"/>
          <w:lang w:val="en-GB"/>
        </w:rPr>
        <w:t xml:space="preserve"> development</w:t>
      </w:r>
      <w:r w:rsidR="00830A0D" w:rsidRPr="00D9330B">
        <w:rPr>
          <w:rFonts w:ascii="Times New Roman" w:hAnsi="Times New Roman" w:cs="Times New Roman"/>
          <w:sz w:val="24"/>
          <w:szCs w:val="24"/>
          <w:lang w:val="en-GB"/>
        </w:rPr>
        <w:t xml:space="preserve"> under</w:t>
      </w:r>
      <w:r w:rsidR="007D3419" w:rsidRPr="00D9330B">
        <w:rPr>
          <w:rFonts w:ascii="Times New Roman" w:hAnsi="Times New Roman" w:cs="Times New Roman"/>
          <w:sz w:val="24"/>
          <w:szCs w:val="24"/>
          <w:lang w:val="en-GB"/>
        </w:rPr>
        <w:t xml:space="preserve"> military</w:t>
      </w:r>
      <w:r w:rsidR="00830A0D" w:rsidRPr="00D9330B">
        <w:rPr>
          <w:rFonts w:ascii="Times New Roman" w:hAnsi="Times New Roman" w:cs="Times New Roman"/>
          <w:sz w:val="24"/>
          <w:szCs w:val="24"/>
          <w:lang w:val="en-GB"/>
        </w:rPr>
        <w:t xml:space="preserve"> rule</w:t>
      </w:r>
      <w:r w:rsidR="008B2FD9" w:rsidRPr="00D9330B">
        <w:rPr>
          <w:rFonts w:ascii="Times New Roman" w:hAnsi="Times New Roman" w:cs="Times New Roman"/>
          <w:sz w:val="24"/>
          <w:szCs w:val="24"/>
          <w:lang w:val="en-GB"/>
        </w:rPr>
        <w:t xml:space="preserve"> preserved a</w:t>
      </w:r>
      <w:r w:rsidR="00F4680B" w:rsidRPr="00D9330B">
        <w:rPr>
          <w:rFonts w:ascii="Times New Roman" w:hAnsi="Times New Roman" w:cs="Times New Roman"/>
          <w:sz w:val="24"/>
          <w:szCs w:val="24"/>
          <w:lang w:val="en-GB"/>
        </w:rPr>
        <w:t>n ideological climate</w:t>
      </w:r>
      <w:r w:rsidR="008B2FD9" w:rsidRPr="00D9330B">
        <w:rPr>
          <w:rFonts w:ascii="Times New Roman" w:hAnsi="Times New Roman" w:cs="Times New Roman"/>
          <w:sz w:val="24"/>
          <w:szCs w:val="24"/>
          <w:lang w:val="en-GB"/>
        </w:rPr>
        <w:t xml:space="preserve"> </w:t>
      </w:r>
      <w:r w:rsidR="00F17ED2" w:rsidRPr="00D9330B">
        <w:rPr>
          <w:rFonts w:ascii="Times New Roman" w:hAnsi="Times New Roman" w:cs="Times New Roman"/>
          <w:sz w:val="24"/>
          <w:szCs w:val="24"/>
          <w:lang w:val="en-GB"/>
        </w:rPr>
        <w:t xml:space="preserve">more </w:t>
      </w:r>
      <w:r w:rsidR="008B2FD9" w:rsidRPr="00D9330B">
        <w:rPr>
          <w:rFonts w:ascii="Times New Roman" w:hAnsi="Times New Roman" w:cs="Times New Roman"/>
          <w:sz w:val="24"/>
          <w:szCs w:val="24"/>
          <w:lang w:val="en-GB"/>
        </w:rPr>
        <w:t>favourable</w:t>
      </w:r>
      <w:r w:rsidR="001A3E4A" w:rsidRPr="00D9330B">
        <w:rPr>
          <w:rFonts w:ascii="Times New Roman" w:hAnsi="Times New Roman" w:cs="Times New Roman"/>
          <w:sz w:val="24"/>
          <w:szCs w:val="24"/>
          <w:lang w:val="en-GB"/>
        </w:rPr>
        <w:t xml:space="preserve"> </w:t>
      </w:r>
      <w:r w:rsidR="008B2FD9" w:rsidRPr="00D9330B">
        <w:rPr>
          <w:rFonts w:ascii="Times New Roman" w:hAnsi="Times New Roman" w:cs="Times New Roman"/>
          <w:sz w:val="24"/>
          <w:szCs w:val="24"/>
          <w:lang w:val="en-GB"/>
        </w:rPr>
        <w:t>to</w:t>
      </w:r>
      <w:r w:rsidR="001A3E4A" w:rsidRPr="00D9330B">
        <w:rPr>
          <w:rFonts w:ascii="Times New Roman" w:hAnsi="Times New Roman" w:cs="Times New Roman"/>
          <w:sz w:val="24"/>
          <w:szCs w:val="24"/>
          <w:lang w:val="en-GB"/>
        </w:rPr>
        <w:t xml:space="preserve"> the demands of non-elite</w:t>
      </w:r>
      <w:r w:rsidR="008B2FD9" w:rsidRPr="00D9330B">
        <w:rPr>
          <w:rFonts w:ascii="Times New Roman" w:hAnsi="Times New Roman" w:cs="Times New Roman"/>
          <w:sz w:val="24"/>
          <w:szCs w:val="24"/>
          <w:lang w:val="en-GB"/>
        </w:rPr>
        <w:t xml:space="preserve">s for </w:t>
      </w:r>
      <w:r w:rsidR="00323F4A" w:rsidRPr="00D9330B">
        <w:rPr>
          <w:rFonts w:ascii="Times New Roman" w:hAnsi="Times New Roman" w:cs="Times New Roman"/>
          <w:sz w:val="24"/>
          <w:szCs w:val="24"/>
          <w:lang w:val="en-GB"/>
        </w:rPr>
        <w:t xml:space="preserve">state-sponsored </w:t>
      </w:r>
      <w:r w:rsidR="008B2FD9" w:rsidRPr="00D9330B">
        <w:rPr>
          <w:rFonts w:ascii="Times New Roman" w:hAnsi="Times New Roman" w:cs="Times New Roman"/>
          <w:sz w:val="24"/>
          <w:szCs w:val="24"/>
          <w:lang w:val="en-GB"/>
        </w:rPr>
        <w:t>social protection</w:t>
      </w:r>
      <w:r w:rsidR="00D271FD" w:rsidRPr="00D9330B">
        <w:rPr>
          <w:rFonts w:ascii="Times New Roman" w:hAnsi="Times New Roman" w:cs="Times New Roman"/>
          <w:sz w:val="24"/>
          <w:szCs w:val="24"/>
          <w:lang w:val="en-GB"/>
        </w:rPr>
        <w:t>. Although Brazil did liberalise its economy during the 1990s,</w:t>
      </w:r>
      <w:r w:rsidR="00356DEC" w:rsidRPr="00D9330B">
        <w:rPr>
          <w:rFonts w:ascii="Times New Roman" w:hAnsi="Times New Roman" w:cs="Times New Roman"/>
          <w:sz w:val="24"/>
          <w:szCs w:val="24"/>
          <w:lang w:val="en-GB"/>
        </w:rPr>
        <w:t xml:space="preserve"> the lingering credibi</w:t>
      </w:r>
      <w:r w:rsidR="00AD22E5" w:rsidRPr="00D9330B">
        <w:rPr>
          <w:rFonts w:ascii="Times New Roman" w:hAnsi="Times New Roman" w:cs="Times New Roman"/>
          <w:sz w:val="24"/>
          <w:szCs w:val="24"/>
          <w:lang w:val="en-GB"/>
        </w:rPr>
        <w:t>lity</w:t>
      </w:r>
      <w:r w:rsidR="002E6121" w:rsidRPr="00D9330B">
        <w:rPr>
          <w:rFonts w:ascii="Times New Roman" w:hAnsi="Times New Roman" w:cs="Times New Roman"/>
          <w:sz w:val="24"/>
          <w:szCs w:val="24"/>
          <w:lang w:val="en-GB"/>
        </w:rPr>
        <w:t xml:space="preserve"> of state intervention helped</w:t>
      </w:r>
      <w:r w:rsidR="00AD22E5" w:rsidRPr="00D9330B">
        <w:rPr>
          <w:rFonts w:ascii="Times New Roman" w:hAnsi="Times New Roman" w:cs="Times New Roman"/>
          <w:sz w:val="24"/>
          <w:szCs w:val="24"/>
          <w:lang w:val="en-GB"/>
        </w:rPr>
        <w:t xml:space="preserve"> mitigate the domestic </w:t>
      </w:r>
      <w:r w:rsidR="001A3E4A" w:rsidRPr="00D9330B">
        <w:rPr>
          <w:rFonts w:ascii="Times New Roman" w:hAnsi="Times New Roman" w:cs="Times New Roman"/>
          <w:sz w:val="24"/>
          <w:szCs w:val="24"/>
          <w:lang w:val="en-GB"/>
        </w:rPr>
        <w:t xml:space="preserve">impact of </w:t>
      </w:r>
      <w:r w:rsidR="002854BB" w:rsidRPr="00D9330B">
        <w:rPr>
          <w:rFonts w:ascii="Times New Roman" w:hAnsi="Times New Roman" w:cs="Times New Roman"/>
          <w:sz w:val="24"/>
          <w:szCs w:val="24"/>
          <w:lang w:val="en-GB"/>
        </w:rPr>
        <w:t xml:space="preserve">the </w:t>
      </w:r>
      <w:r w:rsidR="009A3128" w:rsidRPr="00D9330B">
        <w:rPr>
          <w:rFonts w:ascii="Times New Roman" w:hAnsi="Times New Roman" w:cs="Times New Roman"/>
          <w:sz w:val="24"/>
          <w:szCs w:val="24"/>
          <w:lang w:val="en-GB"/>
        </w:rPr>
        <w:t xml:space="preserve">wave of liberal reformism </w:t>
      </w:r>
      <w:r w:rsidR="00AD22E5" w:rsidRPr="00D9330B">
        <w:rPr>
          <w:rFonts w:ascii="Times New Roman" w:hAnsi="Times New Roman" w:cs="Times New Roman"/>
          <w:sz w:val="24"/>
          <w:szCs w:val="24"/>
          <w:lang w:val="en-GB"/>
        </w:rPr>
        <w:t>that diffused</w:t>
      </w:r>
      <w:r w:rsidR="001A3E4A" w:rsidRPr="00D9330B">
        <w:rPr>
          <w:rFonts w:ascii="Times New Roman" w:hAnsi="Times New Roman" w:cs="Times New Roman"/>
          <w:sz w:val="24"/>
          <w:szCs w:val="24"/>
          <w:lang w:val="en-GB"/>
        </w:rPr>
        <w:t xml:space="preserve"> a</w:t>
      </w:r>
      <w:r w:rsidR="00AD22E5" w:rsidRPr="00D9330B">
        <w:rPr>
          <w:rFonts w:ascii="Times New Roman" w:hAnsi="Times New Roman" w:cs="Times New Roman"/>
          <w:sz w:val="24"/>
          <w:szCs w:val="24"/>
          <w:lang w:val="en-GB"/>
        </w:rPr>
        <w:t>cross Latin America</w:t>
      </w:r>
      <w:r w:rsidR="008B2FD9" w:rsidRPr="00D9330B">
        <w:rPr>
          <w:rFonts w:ascii="Times New Roman" w:hAnsi="Times New Roman" w:cs="Times New Roman"/>
          <w:sz w:val="24"/>
          <w:szCs w:val="24"/>
          <w:lang w:val="en-GB"/>
        </w:rPr>
        <w:t>.</w:t>
      </w:r>
      <w:r w:rsidR="001A3E4A" w:rsidRPr="00D9330B">
        <w:rPr>
          <w:rFonts w:ascii="Times New Roman" w:hAnsi="Times New Roman" w:cs="Times New Roman"/>
          <w:sz w:val="24"/>
          <w:szCs w:val="24"/>
          <w:lang w:val="en-GB"/>
        </w:rPr>
        <w:t xml:space="preserve"> </w:t>
      </w:r>
      <w:r w:rsidR="005D6E3F" w:rsidRPr="00D9330B">
        <w:rPr>
          <w:rFonts w:ascii="Times New Roman" w:hAnsi="Times New Roman" w:cs="Times New Roman"/>
          <w:sz w:val="24"/>
          <w:szCs w:val="24"/>
          <w:lang w:val="en-GB"/>
        </w:rPr>
        <w:t>As</w:t>
      </w:r>
      <w:r w:rsidR="00F4680B" w:rsidRPr="00D9330B">
        <w:rPr>
          <w:rFonts w:ascii="Times New Roman" w:hAnsi="Times New Roman" w:cs="Times New Roman"/>
          <w:sz w:val="24"/>
          <w:szCs w:val="24"/>
          <w:lang w:val="en-GB"/>
        </w:rPr>
        <w:t xml:space="preserve"> Brooks has argued, ‘For all its diffic</w:t>
      </w:r>
      <w:r w:rsidR="008D7FD2" w:rsidRPr="00D9330B">
        <w:rPr>
          <w:rFonts w:ascii="Times New Roman" w:hAnsi="Times New Roman" w:cs="Times New Roman"/>
          <w:sz w:val="24"/>
          <w:szCs w:val="24"/>
          <w:lang w:val="en-GB"/>
        </w:rPr>
        <w:t>ulties, Brazil’s industrialis</w:t>
      </w:r>
      <w:r w:rsidR="00F4680B" w:rsidRPr="00D9330B">
        <w:rPr>
          <w:rFonts w:ascii="Times New Roman" w:hAnsi="Times New Roman" w:cs="Times New Roman"/>
          <w:sz w:val="24"/>
          <w:szCs w:val="24"/>
          <w:lang w:val="en-GB"/>
        </w:rPr>
        <w:t xml:space="preserve">ation effort provided citizens with street-level knowledge of </w:t>
      </w:r>
      <w:r w:rsidR="00F4680B" w:rsidRPr="00D9330B">
        <w:rPr>
          <w:rFonts w:ascii="Times New Roman" w:hAnsi="Times New Roman" w:cs="Times New Roman"/>
          <w:sz w:val="24"/>
          <w:szCs w:val="24"/>
          <w:lang w:val="en-GB"/>
        </w:rPr>
        <w:lastRenderedPageBreak/>
        <w:t>effective public action and expectations that the state can and should play an important role i</w:t>
      </w:r>
      <w:r w:rsidR="001A3E4A" w:rsidRPr="00D9330B">
        <w:rPr>
          <w:rFonts w:ascii="Times New Roman" w:hAnsi="Times New Roman" w:cs="Times New Roman"/>
          <w:sz w:val="24"/>
          <w:szCs w:val="24"/>
          <w:lang w:val="en-GB"/>
        </w:rPr>
        <w:t>n domestic allocative functions</w:t>
      </w:r>
      <w:r w:rsidR="00F4680B" w:rsidRPr="00D9330B">
        <w:rPr>
          <w:rFonts w:ascii="Times New Roman" w:hAnsi="Times New Roman" w:cs="Times New Roman"/>
          <w:sz w:val="24"/>
          <w:szCs w:val="24"/>
          <w:lang w:val="en-GB"/>
        </w:rPr>
        <w:t>.</w:t>
      </w:r>
      <w:r w:rsidR="001A3E4A" w:rsidRPr="00D9330B">
        <w:rPr>
          <w:rFonts w:ascii="Times New Roman" w:hAnsi="Times New Roman" w:cs="Times New Roman"/>
          <w:sz w:val="24"/>
          <w:szCs w:val="24"/>
          <w:lang w:val="en-GB"/>
        </w:rPr>
        <w:t>’</w:t>
      </w:r>
      <w:r w:rsidR="00F4680B" w:rsidRPr="00D9330B">
        <w:rPr>
          <w:rStyle w:val="FootnoteReference"/>
          <w:rFonts w:ascii="Times New Roman" w:hAnsi="Times New Roman" w:cs="Times New Roman"/>
          <w:sz w:val="24"/>
          <w:szCs w:val="24"/>
          <w:lang w:val="en-GB"/>
        </w:rPr>
        <w:footnoteReference w:id="97"/>
      </w:r>
    </w:p>
    <w:p w:rsidR="00FA44E9" w:rsidRPr="00D9330B" w:rsidRDefault="00790669" w:rsidP="00F4680B">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The</w:t>
      </w:r>
      <w:r w:rsidR="00AE1FAD" w:rsidRPr="00D9330B">
        <w:rPr>
          <w:rFonts w:ascii="Times New Roman" w:hAnsi="Times New Roman" w:cs="Times New Roman"/>
          <w:sz w:val="24"/>
          <w:szCs w:val="24"/>
          <w:lang w:val="en-GB"/>
        </w:rPr>
        <w:t xml:space="preserve"> const</w:t>
      </w:r>
      <w:r w:rsidR="007352B9" w:rsidRPr="00D9330B">
        <w:rPr>
          <w:rFonts w:ascii="Times New Roman" w:hAnsi="Times New Roman" w:cs="Times New Roman"/>
          <w:sz w:val="24"/>
          <w:szCs w:val="24"/>
          <w:lang w:val="en-GB"/>
        </w:rPr>
        <w:t>ruction and</w:t>
      </w:r>
      <w:r w:rsidR="00AE1FAD" w:rsidRPr="00D9330B">
        <w:rPr>
          <w:rFonts w:ascii="Times New Roman" w:hAnsi="Times New Roman" w:cs="Times New Roman"/>
          <w:sz w:val="24"/>
          <w:szCs w:val="24"/>
          <w:lang w:val="en-GB"/>
        </w:rPr>
        <w:t xml:space="preserve"> implementation</w:t>
      </w:r>
      <w:r w:rsidR="004B11BF">
        <w:rPr>
          <w:rFonts w:ascii="Times New Roman" w:hAnsi="Times New Roman" w:cs="Times New Roman"/>
          <w:sz w:val="24"/>
          <w:szCs w:val="24"/>
          <w:lang w:val="en-GB"/>
        </w:rPr>
        <w:t xml:space="preserve"> of the 1988 c</w:t>
      </w:r>
      <w:r w:rsidRPr="00D9330B">
        <w:rPr>
          <w:rFonts w:ascii="Times New Roman" w:hAnsi="Times New Roman" w:cs="Times New Roman"/>
          <w:sz w:val="24"/>
          <w:szCs w:val="24"/>
          <w:lang w:val="en-GB"/>
        </w:rPr>
        <w:t>onstitution must be understoo</w:t>
      </w:r>
      <w:r w:rsidR="00894A57" w:rsidRPr="00D9330B">
        <w:rPr>
          <w:rFonts w:ascii="Times New Roman" w:hAnsi="Times New Roman" w:cs="Times New Roman"/>
          <w:sz w:val="24"/>
          <w:szCs w:val="24"/>
          <w:lang w:val="en-GB"/>
        </w:rPr>
        <w:t>d in light</w:t>
      </w:r>
      <w:r w:rsidR="00EC3532" w:rsidRPr="00D9330B">
        <w:rPr>
          <w:rFonts w:ascii="Times New Roman" w:hAnsi="Times New Roman" w:cs="Times New Roman"/>
          <w:sz w:val="24"/>
          <w:szCs w:val="24"/>
          <w:lang w:val="en-GB"/>
        </w:rPr>
        <w:t xml:space="preserve"> of this</w:t>
      </w:r>
      <w:r w:rsidR="004302FD" w:rsidRPr="00D9330B">
        <w:rPr>
          <w:rFonts w:ascii="Times New Roman" w:hAnsi="Times New Roman" w:cs="Times New Roman"/>
          <w:sz w:val="24"/>
          <w:szCs w:val="24"/>
          <w:lang w:val="en-GB"/>
        </w:rPr>
        <w:t xml:space="preserve"> context</w:t>
      </w:r>
      <w:r w:rsidR="00F90F0E" w:rsidRPr="00D9330B">
        <w:rPr>
          <w:rFonts w:ascii="Times New Roman" w:hAnsi="Times New Roman" w:cs="Times New Roman"/>
          <w:sz w:val="24"/>
          <w:szCs w:val="24"/>
          <w:lang w:val="en-GB"/>
        </w:rPr>
        <w:t>.</w:t>
      </w:r>
      <w:r w:rsidR="00AE1FAD" w:rsidRPr="00D9330B">
        <w:rPr>
          <w:rFonts w:ascii="Times New Roman" w:hAnsi="Times New Roman" w:cs="Times New Roman"/>
          <w:sz w:val="24"/>
          <w:szCs w:val="24"/>
          <w:lang w:val="en-GB"/>
        </w:rPr>
        <w:t xml:space="preserve"> Le</w:t>
      </w:r>
      <w:r w:rsidR="001520CF" w:rsidRPr="00D9330B">
        <w:rPr>
          <w:rFonts w:ascii="Times New Roman" w:hAnsi="Times New Roman" w:cs="Times New Roman"/>
          <w:sz w:val="24"/>
          <w:szCs w:val="24"/>
          <w:lang w:val="en-GB"/>
        </w:rPr>
        <w:t>ft parties</w:t>
      </w:r>
      <w:r w:rsidR="00F90F0E" w:rsidRPr="00D9330B">
        <w:rPr>
          <w:rFonts w:ascii="Times New Roman" w:hAnsi="Times New Roman" w:cs="Times New Roman"/>
          <w:sz w:val="24"/>
          <w:szCs w:val="24"/>
          <w:lang w:val="en-GB"/>
        </w:rPr>
        <w:t xml:space="preserve"> were </w:t>
      </w:r>
      <w:r w:rsidR="005B4DD3" w:rsidRPr="00D9330B">
        <w:rPr>
          <w:rFonts w:ascii="Times New Roman" w:hAnsi="Times New Roman" w:cs="Times New Roman"/>
          <w:sz w:val="24"/>
          <w:szCs w:val="24"/>
          <w:lang w:val="en-GB"/>
        </w:rPr>
        <w:t>weakly represented in the constituent assembly, in part b</w:t>
      </w:r>
      <w:r w:rsidR="00F90F0E" w:rsidRPr="00D9330B">
        <w:rPr>
          <w:rFonts w:ascii="Times New Roman" w:hAnsi="Times New Roman" w:cs="Times New Roman"/>
          <w:sz w:val="24"/>
          <w:szCs w:val="24"/>
          <w:lang w:val="en-GB"/>
        </w:rPr>
        <w:t>ecause the PT still</w:t>
      </w:r>
      <w:r w:rsidR="005B4DD3" w:rsidRPr="00D9330B">
        <w:rPr>
          <w:rFonts w:ascii="Times New Roman" w:hAnsi="Times New Roman" w:cs="Times New Roman"/>
          <w:sz w:val="24"/>
          <w:szCs w:val="24"/>
          <w:lang w:val="en-GB"/>
        </w:rPr>
        <w:t xml:space="preserve"> lacked a national </w:t>
      </w:r>
      <w:r w:rsidR="00870C98" w:rsidRPr="00D9330B">
        <w:rPr>
          <w:rFonts w:ascii="Times New Roman" w:hAnsi="Times New Roman" w:cs="Times New Roman"/>
          <w:sz w:val="24"/>
          <w:szCs w:val="24"/>
          <w:lang w:val="en-GB"/>
        </w:rPr>
        <w:t>structure</w:t>
      </w:r>
      <w:r w:rsidR="00AE1FAD" w:rsidRPr="00D9330B">
        <w:rPr>
          <w:rFonts w:ascii="Times New Roman" w:hAnsi="Times New Roman" w:cs="Times New Roman"/>
          <w:sz w:val="24"/>
          <w:szCs w:val="24"/>
          <w:lang w:val="en-GB"/>
        </w:rPr>
        <w:t>. However,</w:t>
      </w:r>
      <w:r w:rsidR="001520CF" w:rsidRPr="00D9330B">
        <w:rPr>
          <w:rFonts w:ascii="Times New Roman" w:hAnsi="Times New Roman" w:cs="Times New Roman"/>
          <w:sz w:val="24"/>
          <w:szCs w:val="24"/>
          <w:lang w:val="en-GB"/>
        </w:rPr>
        <w:t xml:space="preserve"> the PMDB, which controlled a majo</w:t>
      </w:r>
      <w:r w:rsidR="005D6E3F" w:rsidRPr="00D9330B">
        <w:rPr>
          <w:rFonts w:ascii="Times New Roman" w:hAnsi="Times New Roman" w:cs="Times New Roman"/>
          <w:sz w:val="24"/>
          <w:szCs w:val="24"/>
          <w:lang w:val="en-GB"/>
        </w:rPr>
        <w:t>rity of seats</w:t>
      </w:r>
      <w:r w:rsidR="00236C1A" w:rsidRPr="00D9330B">
        <w:rPr>
          <w:rFonts w:ascii="Times New Roman" w:hAnsi="Times New Roman" w:cs="Times New Roman"/>
          <w:sz w:val="24"/>
          <w:szCs w:val="24"/>
          <w:lang w:val="en-GB"/>
        </w:rPr>
        <w:t>, harboured many</w:t>
      </w:r>
      <w:r w:rsidR="00323F4A" w:rsidRPr="00D9330B">
        <w:rPr>
          <w:rFonts w:ascii="Times New Roman" w:hAnsi="Times New Roman" w:cs="Times New Roman"/>
          <w:sz w:val="24"/>
          <w:szCs w:val="24"/>
          <w:lang w:val="en-GB"/>
        </w:rPr>
        <w:t xml:space="preserve"> progressive</w:t>
      </w:r>
      <w:r w:rsidR="00236C1A" w:rsidRPr="00D9330B">
        <w:rPr>
          <w:rFonts w:ascii="Times New Roman" w:hAnsi="Times New Roman" w:cs="Times New Roman"/>
          <w:sz w:val="24"/>
          <w:szCs w:val="24"/>
          <w:lang w:val="en-GB"/>
        </w:rPr>
        <w:t xml:space="preserve"> politicians</w:t>
      </w:r>
      <w:r w:rsidR="00502F04" w:rsidRPr="00D9330B">
        <w:rPr>
          <w:rFonts w:ascii="Times New Roman" w:hAnsi="Times New Roman" w:cs="Times New Roman"/>
          <w:sz w:val="24"/>
          <w:szCs w:val="24"/>
          <w:lang w:val="en-GB"/>
        </w:rPr>
        <w:t xml:space="preserve"> with ties to</w:t>
      </w:r>
      <w:r w:rsidR="00323F4A" w:rsidRPr="00D9330B">
        <w:rPr>
          <w:rFonts w:ascii="Times New Roman" w:hAnsi="Times New Roman" w:cs="Times New Roman"/>
          <w:sz w:val="24"/>
          <w:szCs w:val="24"/>
          <w:lang w:val="en-GB"/>
        </w:rPr>
        <w:t xml:space="preserve"> popular</w:t>
      </w:r>
      <w:r w:rsidR="001520CF" w:rsidRPr="00D9330B">
        <w:rPr>
          <w:rFonts w:ascii="Times New Roman" w:hAnsi="Times New Roman" w:cs="Times New Roman"/>
          <w:sz w:val="24"/>
          <w:szCs w:val="24"/>
          <w:lang w:val="en-GB"/>
        </w:rPr>
        <w:t xml:space="preserve"> civil society.</w:t>
      </w:r>
      <w:r w:rsidR="00502F04" w:rsidRPr="00D9330B">
        <w:rPr>
          <w:rStyle w:val="FootnoteReference"/>
          <w:rFonts w:ascii="Times New Roman" w:hAnsi="Times New Roman" w:cs="Times New Roman"/>
          <w:sz w:val="24"/>
          <w:szCs w:val="24"/>
          <w:lang w:val="en-GB"/>
        </w:rPr>
        <w:footnoteReference w:id="98"/>
      </w:r>
      <w:r w:rsidR="00502F04" w:rsidRPr="00D9330B">
        <w:rPr>
          <w:rFonts w:ascii="Times New Roman" w:hAnsi="Times New Roman" w:cs="Times New Roman"/>
          <w:sz w:val="24"/>
          <w:szCs w:val="24"/>
          <w:lang w:val="en-GB"/>
        </w:rPr>
        <w:t xml:space="preserve"> Despite</w:t>
      </w:r>
      <w:r w:rsidR="002F05BB" w:rsidRPr="00D9330B">
        <w:rPr>
          <w:rFonts w:ascii="Times New Roman" w:hAnsi="Times New Roman" w:cs="Times New Roman"/>
          <w:sz w:val="24"/>
          <w:szCs w:val="24"/>
          <w:lang w:val="en-GB"/>
        </w:rPr>
        <w:t xml:space="preserve"> suffering some</w:t>
      </w:r>
      <w:r w:rsidR="00AD22E5" w:rsidRPr="00D9330B">
        <w:rPr>
          <w:rFonts w:ascii="Times New Roman" w:hAnsi="Times New Roman" w:cs="Times New Roman"/>
          <w:sz w:val="24"/>
          <w:szCs w:val="24"/>
          <w:lang w:val="en-GB"/>
        </w:rPr>
        <w:t xml:space="preserve"> key</w:t>
      </w:r>
      <w:r w:rsidR="00502F04" w:rsidRPr="00D9330B">
        <w:rPr>
          <w:rFonts w:ascii="Times New Roman" w:hAnsi="Times New Roman" w:cs="Times New Roman"/>
          <w:sz w:val="24"/>
          <w:szCs w:val="24"/>
          <w:lang w:val="en-GB"/>
        </w:rPr>
        <w:t xml:space="preserve"> setbacks</w:t>
      </w:r>
      <w:r w:rsidR="0023207E" w:rsidRPr="00D9330B">
        <w:rPr>
          <w:rFonts w:ascii="Times New Roman" w:hAnsi="Times New Roman" w:cs="Times New Roman"/>
          <w:sz w:val="24"/>
          <w:szCs w:val="24"/>
          <w:lang w:val="en-GB"/>
        </w:rPr>
        <w:t>,</w:t>
      </w:r>
      <w:r w:rsidR="00E63D76" w:rsidRPr="00D9330B">
        <w:rPr>
          <w:rFonts w:ascii="Times New Roman" w:hAnsi="Times New Roman" w:cs="Times New Roman"/>
          <w:sz w:val="24"/>
          <w:szCs w:val="24"/>
          <w:lang w:val="en-GB"/>
        </w:rPr>
        <w:t xml:space="preserve"> left-leaning</w:t>
      </w:r>
      <w:r w:rsidR="002F05BB" w:rsidRPr="00D9330B">
        <w:rPr>
          <w:rFonts w:ascii="Times New Roman" w:hAnsi="Times New Roman" w:cs="Times New Roman"/>
          <w:sz w:val="24"/>
          <w:szCs w:val="24"/>
          <w:lang w:val="en-GB"/>
        </w:rPr>
        <w:t xml:space="preserve"> delegates</w:t>
      </w:r>
      <w:r w:rsidR="001520CF" w:rsidRPr="00D9330B">
        <w:rPr>
          <w:rFonts w:ascii="Times New Roman" w:hAnsi="Times New Roman" w:cs="Times New Roman"/>
          <w:sz w:val="24"/>
          <w:szCs w:val="24"/>
          <w:lang w:val="en-GB"/>
        </w:rPr>
        <w:t xml:space="preserve"> succeeded in inserting numerous provi</w:t>
      </w:r>
      <w:r w:rsidR="002E11C2" w:rsidRPr="00D9330B">
        <w:rPr>
          <w:rFonts w:ascii="Times New Roman" w:hAnsi="Times New Roman" w:cs="Times New Roman"/>
          <w:sz w:val="24"/>
          <w:szCs w:val="24"/>
          <w:lang w:val="en-GB"/>
        </w:rPr>
        <w:t>sions in the constitution</w:t>
      </w:r>
      <w:r w:rsidR="001520CF" w:rsidRPr="00D9330B">
        <w:rPr>
          <w:rFonts w:ascii="Times New Roman" w:hAnsi="Times New Roman" w:cs="Times New Roman"/>
          <w:sz w:val="24"/>
          <w:szCs w:val="24"/>
          <w:lang w:val="en-GB"/>
        </w:rPr>
        <w:t xml:space="preserve"> that implied greater social spending, including </w:t>
      </w:r>
      <w:r w:rsidR="000728D0" w:rsidRPr="00D9330B">
        <w:rPr>
          <w:rFonts w:ascii="Times New Roman" w:hAnsi="Times New Roman" w:cs="Times New Roman"/>
          <w:sz w:val="24"/>
          <w:szCs w:val="24"/>
          <w:lang w:val="en-GB"/>
        </w:rPr>
        <w:t>the integration of rural workers into the general pension system</w:t>
      </w:r>
      <w:r w:rsidR="005B4DD3" w:rsidRPr="00D9330B">
        <w:rPr>
          <w:rFonts w:ascii="Times New Roman" w:hAnsi="Times New Roman" w:cs="Times New Roman"/>
          <w:sz w:val="24"/>
          <w:szCs w:val="24"/>
          <w:lang w:val="en-GB"/>
        </w:rPr>
        <w:t>,</w:t>
      </w:r>
      <w:r w:rsidR="000728D0" w:rsidRPr="00D9330B">
        <w:rPr>
          <w:rFonts w:ascii="Times New Roman" w:hAnsi="Times New Roman" w:cs="Times New Roman"/>
          <w:sz w:val="24"/>
          <w:szCs w:val="24"/>
          <w:lang w:val="en-GB"/>
        </w:rPr>
        <w:t xml:space="preserve"> the</w:t>
      </w:r>
      <w:r w:rsidR="005B4DD3" w:rsidRPr="00D9330B">
        <w:rPr>
          <w:rFonts w:ascii="Times New Roman" w:hAnsi="Times New Roman" w:cs="Times New Roman"/>
          <w:sz w:val="24"/>
          <w:szCs w:val="24"/>
          <w:lang w:val="en-GB"/>
        </w:rPr>
        <w:t xml:space="preserve"> establishment </w:t>
      </w:r>
      <w:r w:rsidR="000728D0" w:rsidRPr="00D9330B">
        <w:rPr>
          <w:rFonts w:ascii="Times New Roman" w:hAnsi="Times New Roman" w:cs="Times New Roman"/>
          <w:sz w:val="24"/>
          <w:szCs w:val="24"/>
          <w:lang w:val="en-GB"/>
        </w:rPr>
        <w:t>of</w:t>
      </w:r>
      <w:r w:rsidR="005B4DD3" w:rsidRPr="00D9330B">
        <w:rPr>
          <w:rFonts w:ascii="Times New Roman" w:hAnsi="Times New Roman" w:cs="Times New Roman"/>
          <w:sz w:val="24"/>
          <w:szCs w:val="24"/>
          <w:lang w:val="en-GB"/>
        </w:rPr>
        <w:t xml:space="preserve"> the</w:t>
      </w:r>
      <w:r w:rsidR="000728D0" w:rsidRPr="00D9330B">
        <w:rPr>
          <w:rFonts w:ascii="Times New Roman" w:hAnsi="Times New Roman" w:cs="Times New Roman"/>
          <w:sz w:val="24"/>
          <w:szCs w:val="24"/>
          <w:lang w:val="en-GB"/>
        </w:rPr>
        <w:t xml:space="preserve"> mini</w:t>
      </w:r>
      <w:r w:rsidR="002E11C2" w:rsidRPr="00D9330B">
        <w:rPr>
          <w:rFonts w:ascii="Times New Roman" w:hAnsi="Times New Roman" w:cs="Times New Roman"/>
          <w:sz w:val="24"/>
          <w:szCs w:val="24"/>
          <w:lang w:val="en-GB"/>
        </w:rPr>
        <w:t>mum wage as the floor for</w:t>
      </w:r>
      <w:r w:rsidR="0023207E" w:rsidRPr="00D9330B">
        <w:rPr>
          <w:rFonts w:ascii="Times New Roman" w:hAnsi="Times New Roman" w:cs="Times New Roman"/>
          <w:sz w:val="24"/>
          <w:szCs w:val="24"/>
          <w:lang w:val="en-GB"/>
        </w:rPr>
        <w:t xml:space="preserve"> pension</w:t>
      </w:r>
      <w:r w:rsidR="000728D0" w:rsidRPr="00D9330B">
        <w:rPr>
          <w:rFonts w:ascii="Times New Roman" w:hAnsi="Times New Roman" w:cs="Times New Roman"/>
          <w:sz w:val="24"/>
          <w:szCs w:val="24"/>
          <w:lang w:val="en-GB"/>
        </w:rPr>
        <w:t xml:space="preserve">s, </w:t>
      </w:r>
      <w:r w:rsidR="00894A57" w:rsidRPr="00D9330B">
        <w:rPr>
          <w:rFonts w:ascii="Times New Roman" w:hAnsi="Times New Roman" w:cs="Times New Roman"/>
          <w:sz w:val="24"/>
          <w:szCs w:val="24"/>
          <w:lang w:val="en-GB"/>
        </w:rPr>
        <w:t xml:space="preserve">and </w:t>
      </w:r>
      <w:r w:rsidR="00AD22E5" w:rsidRPr="00D9330B">
        <w:rPr>
          <w:rFonts w:ascii="Times New Roman" w:hAnsi="Times New Roman" w:cs="Times New Roman"/>
          <w:sz w:val="24"/>
          <w:szCs w:val="24"/>
          <w:lang w:val="en-GB"/>
        </w:rPr>
        <w:t>a guarantee of free</w:t>
      </w:r>
      <w:r w:rsidR="005B4DD3" w:rsidRPr="00D9330B">
        <w:rPr>
          <w:rFonts w:ascii="Times New Roman" w:hAnsi="Times New Roman" w:cs="Times New Roman"/>
          <w:sz w:val="24"/>
          <w:szCs w:val="24"/>
          <w:lang w:val="en-GB"/>
        </w:rPr>
        <w:t xml:space="preserve"> access to healthcare</w:t>
      </w:r>
      <w:r w:rsidR="002E11C2" w:rsidRPr="00D9330B">
        <w:rPr>
          <w:rFonts w:ascii="Times New Roman" w:hAnsi="Times New Roman" w:cs="Times New Roman"/>
          <w:sz w:val="24"/>
          <w:szCs w:val="24"/>
          <w:lang w:val="en-GB"/>
        </w:rPr>
        <w:t>.</w:t>
      </w:r>
      <w:r w:rsidR="00FA44E9" w:rsidRPr="00D9330B">
        <w:rPr>
          <w:rFonts w:ascii="Times New Roman" w:hAnsi="Times New Roman" w:cs="Times New Roman"/>
          <w:sz w:val="24"/>
          <w:szCs w:val="24"/>
          <w:lang w:val="en-GB"/>
        </w:rPr>
        <w:t xml:space="preserve"> </w:t>
      </w:r>
      <w:r w:rsidR="002E11C2" w:rsidRPr="00D9330B">
        <w:rPr>
          <w:rFonts w:ascii="Times New Roman" w:hAnsi="Times New Roman" w:cs="Times New Roman"/>
          <w:sz w:val="24"/>
          <w:szCs w:val="24"/>
          <w:lang w:val="en-GB"/>
        </w:rPr>
        <w:t xml:space="preserve">The reforms to the </w:t>
      </w:r>
      <w:r w:rsidR="004471D7" w:rsidRPr="00D9330B">
        <w:rPr>
          <w:rFonts w:ascii="Times New Roman" w:hAnsi="Times New Roman" w:cs="Times New Roman"/>
          <w:sz w:val="24"/>
          <w:szCs w:val="24"/>
          <w:lang w:val="en-GB"/>
        </w:rPr>
        <w:t>pension</w:t>
      </w:r>
      <w:r w:rsidR="00CD587A" w:rsidRPr="00D9330B">
        <w:rPr>
          <w:rFonts w:ascii="Times New Roman" w:hAnsi="Times New Roman" w:cs="Times New Roman"/>
          <w:sz w:val="24"/>
          <w:szCs w:val="24"/>
          <w:lang w:val="en-GB"/>
        </w:rPr>
        <w:t xml:space="preserve"> system for public functionaries</w:t>
      </w:r>
      <w:r w:rsidR="00FA44E9" w:rsidRPr="00D9330B">
        <w:rPr>
          <w:rFonts w:ascii="Times New Roman" w:hAnsi="Times New Roman" w:cs="Times New Roman"/>
          <w:sz w:val="24"/>
          <w:szCs w:val="24"/>
          <w:lang w:val="en-GB"/>
        </w:rPr>
        <w:t>, meanwhile, reflected the</w:t>
      </w:r>
      <w:r w:rsidR="00B108F8" w:rsidRPr="00D9330B">
        <w:rPr>
          <w:rFonts w:ascii="Times New Roman" w:hAnsi="Times New Roman" w:cs="Times New Roman"/>
          <w:sz w:val="24"/>
          <w:szCs w:val="24"/>
          <w:lang w:val="en-GB"/>
        </w:rPr>
        <w:t xml:space="preserve"> political w</w:t>
      </w:r>
      <w:r w:rsidR="00FA44E9" w:rsidRPr="00D9330B">
        <w:rPr>
          <w:rFonts w:ascii="Times New Roman" w:hAnsi="Times New Roman" w:cs="Times New Roman"/>
          <w:sz w:val="24"/>
          <w:szCs w:val="24"/>
          <w:lang w:val="en-GB"/>
        </w:rPr>
        <w:t>ei</w:t>
      </w:r>
      <w:r w:rsidR="0023207E" w:rsidRPr="00D9330B">
        <w:rPr>
          <w:rFonts w:ascii="Times New Roman" w:hAnsi="Times New Roman" w:cs="Times New Roman"/>
          <w:sz w:val="24"/>
          <w:szCs w:val="24"/>
          <w:lang w:val="en-GB"/>
        </w:rPr>
        <w:t>ght of this largely</w:t>
      </w:r>
      <w:r w:rsidR="00AE1FAD" w:rsidRPr="00D9330B">
        <w:rPr>
          <w:rFonts w:ascii="Times New Roman" w:hAnsi="Times New Roman" w:cs="Times New Roman"/>
          <w:sz w:val="24"/>
          <w:szCs w:val="24"/>
          <w:lang w:val="en-GB"/>
        </w:rPr>
        <w:t xml:space="preserve"> urban,</w:t>
      </w:r>
      <w:r w:rsidR="00B3614D" w:rsidRPr="00D9330B">
        <w:rPr>
          <w:rFonts w:ascii="Times New Roman" w:hAnsi="Times New Roman" w:cs="Times New Roman"/>
          <w:sz w:val="24"/>
          <w:szCs w:val="24"/>
          <w:lang w:val="en-GB"/>
        </w:rPr>
        <w:t xml:space="preserve"> </w:t>
      </w:r>
      <w:r w:rsidR="0023207E" w:rsidRPr="00D9330B">
        <w:rPr>
          <w:rFonts w:ascii="Times New Roman" w:hAnsi="Times New Roman" w:cs="Times New Roman"/>
          <w:sz w:val="24"/>
          <w:szCs w:val="24"/>
          <w:lang w:val="en-GB"/>
        </w:rPr>
        <w:t>white collar</w:t>
      </w:r>
      <w:r w:rsidR="00FA44E9" w:rsidRPr="00D9330B">
        <w:rPr>
          <w:rFonts w:ascii="Times New Roman" w:hAnsi="Times New Roman" w:cs="Times New Roman"/>
          <w:sz w:val="24"/>
          <w:szCs w:val="24"/>
          <w:lang w:val="en-GB"/>
        </w:rPr>
        <w:t xml:space="preserve"> group. Public employment </w:t>
      </w:r>
      <w:r w:rsidR="00BC6916" w:rsidRPr="00D9330B">
        <w:rPr>
          <w:rFonts w:ascii="Times New Roman" w:hAnsi="Times New Roman" w:cs="Times New Roman"/>
          <w:sz w:val="24"/>
          <w:szCs w:val="24"/>
          <w:lang w:val="en-GB"/>
        </w:rPr>
        <w:t>grew substantially</w:t>
      </w:r>
      <w:r w:rsidR="00B108F8" w:rsidRPr="00D9330B">
        <w:rPr>
          <w:rFonts w:ascii="Times New Roman" w:hAnsi="Times New Roman" w:cs="Times New Roman"/>
          <w:sz w:val="24"/>
          <w:szCs w:val="24"/>
          <w:lang w:val="en-GB"/>
        </w:rPr>
        <w:t xml:space="preserve"> under military rule and</w:t>
      </w:r>
      <w:r w:rsidR="00FA44E9" w:rsidRPr="00D9330B">
        <w:rPr>
          <w:rFonts w:ascii="Times New Roman" w:hAnsi="Times New Roman" w:cs="Times New Roman"/>
          <w:sz w:val="24"/>
          <w:szCs w:val="24"/>
          <w:lang w:val="en-GB"/>
        </w:rPr>
        <w:t xml:space="preserve"> p</w:t>
      </w:r>
      <w:r w:rsidR="00B108F8" w:rsidRPr="00D9330B">
        <w:rPr>
          <w:rFonts w:ascii="Times New Roman" w:hAnsi="Times New Roman" w:cs="Times New Roman"/>
          <w:sz w:val="24"/>
          <w:szCs w:val="24"/>
          <w:lang w:val="en-GB"/>
        </w:rPr>
        <w:t>oliticians</w:t>
      </w:r>
      <w:r w:rsidR="004302FD" w:rsidRPr="00D9330B">
        <w:rPr>
          <w:rFonts w:ascii="Times New Roman" w:hAnsi="Times New Roman" w:cs="Times New Roman"/>
          <w:sz w:val="24"/>
          <w:szCs w:val="24"/>
          <w:lang w:val="en-GB"/>
        </w:rPr>
        <w:t xml:space="preserve"> of all</w:t>
      </w:r>
      <w:r w:rsidR="00FA44E9" w:rsidRPr="00D9330B">
        <w:rPr>
          <w:rFonts w:ascii="Times New Roman" w:hAnsi="Times New Roman" w:cs="Times New Roman"/>
          <w:sz w:val="24"/>
          <w:szCs w:val="24"/>
          <w:lang w:val="en-GB"/>
        </w:rPr>
        <w:t xml:space="preserve"> major parties</w:t>
      </w:r>
      <w:r w:rsidR="00AE1FAD" w:rsidRPr="00D9330B">
        <w:rPr>
          <w:rFonts w:ascii="Times New Roman" w:hAnsi="Times New Roman" w:cs="Times New Roman"/>
          <w:sz w:val="24"/>
          <w:szCs w:val="24"/>
          <w:lang w:val="en-GB"/>
        </w:rPr>
        <w:t xml:space="preserve"> viewed public jobs </w:t>
      </w:r>
      <w:r w:rsidR="00236C1A" w:rsidRPr="00D9330B">
        <w:rPr>
          <w:rFonts w:ascii="Times New Roman" w:hAnsi="Times New Roman" w:cs="Times New Roman"/>
          <w:sz w:val="24"/>
          <w:szCs w:val="24"/>
          <w:lang w:val="en-GB"/>
        </w:rPr>
        <w:t>and associated benefits as a</w:t>
      </w:r>
      <w:r w:rsidR="00B108F8" w:rsidRPr="00D9330B">
        <w:rPr>
          <w:rFonts w:ascii="Times New Roman" w:hAnsi="Times New Roman" w:cs="Times New Roman"/>
          <w:sz w:val="24"/>
          <w:szCs w:val="24"/>
          <w:lang w:val="en-GB"/>
        </w:rPr>
        <w:t xml:space="preserve"> patronage</w:t>
      </w:r>
      <w:r w:rsidR="001D3258" w:rsidRPr="00D9330B">
        <w:rPr>
          <w:rFonts w:ascii="Times New Roman" w:hAnsi="Times New Roman" w:cs="Times New Roman"/>
          <w:sz w:val="24"/>
          <w:szCs w:val="24"/>
          <w:lang w:val="en-GB"/>
        </w:rPr>
        <w:t xml:space="preserve"> resource.</w:t>
      </w:r>
      <w:r w:rsidR="006D0785" w:rsidRPr="00D9330B">
        <w:rPr>
          <w:rStyle w:val="FootnoteReference"/>
          <w:rFonts w:ascii="Times New Roman" w:hAnsi="Times New Roman" w:cs="Times New Roman"/>
          <w:sz w:val="24"/>
          <w:szCs w:val="24"/>
          <w:lang w:val="en-GB"/>
        </w:rPr>
        <w:footnoteReference w:id="99"/>
      </w:r>
    </w:p>
    <w:p w:rsidR="00935545" w:rsidRDefault="00FA44E9" w:rsidP="005B4FEF">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lastRenderedPageBreak/>
        <w:tab/>
      </w:r>
      <w:r w:rsidR="001B1FAA" w:rsidRPr="00D9330B">
        <w:rPr>
          <w:rFonts w:ascii="Times New Roman" w:hAnsi="Times New Roman" w:cs="Times New Roman"/>
          <w:sz w:val="24"/>
          <w:szCs w:val="24"/>
          <w:lang w:val="en-GB"/>
        </w:rPr>
        <w:t>The generous</w:t>
      </w:r>
      <w:r w:rsidR="00A4353C" w:rsidRPr="00D9330B">
        <w:rPr>
          <w:rFonts w:ascii="Times New Roman" w:hAnsi="Times New Roman" w:cs="Times New Roman"/>
          <w:sz w:val="24"/>
          <w:szCs w:val="24"/>
          <w:lang w:val="en-GB"/>
        </w:rPr>
        <w:t xml:space="preserve"> spending provi</w:t>
      </w:r>
      <w:r w:rsidR="001B1FAA" w:rsidRPr="00D9330B">
        <w:rPr>
          <w:rFonts w:ascii="Times New Roman" w:hAnsi="Times New Roman" w:cs="Times New Roman"/>
          <w:sz w:val="24"/>
          <w:szCs w:val="24"/>
          <w:lang w:val="en-GB"/>
        </w:rPr>
        <w:t>sio</w:t>
      </w:r>
      <w:r w:rsidR="009C17F7" w:rsidRPr="00D9330B">
        <w:rPr>
          <w:rFonts w:ascii="Times New Roman" w:hAnsi="Times New Roman" w:cs="Times New Roman"/>
          <w:sz w:val="24"/>
          <w:szCs w:val="24"/>
          <w:lang w:val="en-GB"/>
        </w:rPr>
        <w:t>ns of the constitution no doubt</w:t>
      </w:r>
      <w:r w:rsidR="00A4353C" w:rsidRPr="00D9330B">
        <w:rPr>
          <w:rFonts w:ascii="Times New Roman" w:hAnsi="Times New Roman" w:cs="Times New Roman"/>
          <w:sz w:val="24"/>
          <w:szCs w:val="24"/>
          <w:lang w:val="en-GB"/>
        </w:rPr>
        <w:t xml:space="preserve"> reflected a propitious </w:t>
      </w:r>
      <w:r w:rsidR="00492533" w:rsidRPr="00D9330B">
        <w:rPr>
          <w:rFonts w:ascii="Times New Roman" w:hAnsi="Times New Roman" w:cs="Times New Roman"/>
          <w:sz w:val="24"/>
          <w:szCs w:val="24"/>
          <w:lang w:val="en-GB"/>
        </w:rPr>
        <w:t>conjuncture</w:t>
      </w:r>
      <w:r w:rsidR="00A4353C" w:rsidRPr="00D9330B">
        <w:rPr>
          <w:rFonts w:ascii="Times New Roman" w:hAnsi="Times New Roman" w:cs="Times New Roman"/>
          <w:sz w:val="24"/>
          <w:szCs w:val="24"/>
          <w:lang w:val="en-GB"/>
        </w:rPr>
        <w:t xml:space="preserve"> for demand-making</w:t>
      </w:r>
      <w:r w:rsidR="001B1FAA" w:rsidRPr="00D9330B">
        <w:rPr>
          <w:rFonts w:ascii="Times New Roman" w:hAnsi="Times New Roman" w:cs="Times New Roman"/>
          <w:sz w:val="24"/>
          <w:szCs w:val="24"/>
          <w:lang w:val="en-GB"/>
        </w:rPr>
        <w:t>, but had they only reflected that context</w:t>
      </w:r>
      <w:r w:rsidR="00A4353C" w:rsidRPr="00D9330B">
        <w:rPr>
          <w:rFonts w:ascii="Times New Roman" w:hAnsi="Times New Roman" w:cs="Times New Roman"/>
          <w:sz w:val="24"/>
          <w:szCs w:val="24"/>
          <w:lang w:val="en-GB"/>
        </w:rPr>
        <w:t xml:space="preserve"> they prob</w:t>
      </w:r>
      <w:r w:rsidR="001918C6" w:rsidRPr="00D9330B">
        <w:rPr>
          <w:rFonts w:ascii="Times New Roman" w:hAnsi="Times New Roman" w:cs="Times New Roman"/>
          <w:sz w:val="24"/>
          <w:szCs w:val="24"/>
          <w:lang w:val="en-GB"/>
        </w:rPr>
        <w:t>ably would have been seriously curtailed</w:t>
      </w:r>
      <w:r w:rsidR="00A4353C" w:rsidRPr="00D9330B">
        <w:rPr>
          <w:rFonts w:ascii="Times New Roman" w:hAnsi="Times New Roman" w:cs="Times New Roman"/>
          <w:sz w:val="24"/>
          <w:szCs w:val="24"/>
          <w:lang w:val="en-GB"/>
        </w:rPr>
        <w:t xml:space="preserve"> in subsequent decades</w:t>
      </w:r>
      <w:r w:rsidR="00B13A62" w:rsidRPr="00D9330B">
        <w:rPr>
          <w:rFonts w:ascii="Times New Roman" w:hAnsi="Times New Roman" w:cs="Times New Roman"/>
          <w:sz w:val="24"/>
          <w:szCs w:val="24"/>
          <w:lang w:val="en-GB"/>
        </w:rPr>
        <w:t xml:space="preserve">, given the </w:t>
      </w:r>
      <w:r w:rsidR="00E743FF" w:rsidRPr="00D9330B">
        <w:rPr>
          <w:rFonts w:ascii="Times New Roman" w:hAnsi="Times New Roman" w:cs="Times New Roman"/>
          <w:sz w:val="24"/>
          <w:szCs w:val="24"/>
          <w:lang w:val="en-GB"/>
        </w:rPr>
        <w:t xml:space="preserve">relative </w:t>
      </w:r>
      <w:r w:rsidR="00B13A62" w:rsidRPr="00D9330B">
        <w:rPr>
          <w:rFonts w:ascii="Times New Roman" w:hAnsi="Times New Roman" w:cs="Times New Roman"/>
          <w:sz w:val="24"/>
          <w:szCs w:val="24"/>
          <w:lang w:val="en-GB"/>
        </w:rPr>
        <w:t>ease with which the constit</w:t>
      </w:r>
      <w:r w:rsidR="001B1FAA" w:rsidRPr="00D9330B">
        <w:rPr>
          <w:rFonts w:ascii="Times New Roman" w:hAnsi="Times New Roman" w:cs="Times New Roman"/>
          <w:sz w:val="24"/>
          <w:szCs w:val="24"/>
          <w:lang w:val="en-GB"/>
        </w:rPr>
        <w:t>ution has been alter</w:t>
      </w:r>
      <w:r w:rsidR="00B13A62" w:rsidRPr="00D9330B">
        <w:rPr>
          <w:rFonts w:ascii="Times New Roman" w:hAnsi="Times New Roman" w:cs="Times New Roman"/>
          <w:sz w:val="24"/>
          <w:szCs w:val="24"/>
          <w:lang w:val="en-GB"/>
        </w:rPr>
        <w:t>ed. The fact they have</w:t>
      </w:r>
      <w:r w:rsidR="00870C98" w:rsidRPr="00D9330B">
        <w:rPr>
          <w:rFonts w:ascii="Times New Roman" w:hAnsi="Times New Roman" w:cs="Times New Roman"/>
          <w:sz w:val="24"/>
          <w:szCs w:val="24"/>
          <w:lang w:val="en-GB"/>
        </w:rPr>
        <w:t xml:space="preserve"> not</w:t>
      </w:r>
      <w:r w:rsidR="00B13A62" w:rsidRPr="00D9330B">
        <w:rPr>
          <w:rFonts w:ascii="Times New Roman" w:hAnsi="Times New Roman" w:cs="Times New Roman"/>
          <w:sz w:val="24"/>
          <w:szCs w:val="24"/>
          <w:lang w:val="en-GB"/>
        </w:rPr>
        <w:t xml:space="preserve"> reflects the strength o</w:t>
      </w:r>
      <w:r w:rsidR="00484A7F" w:rsidRPr="00D9330B">
        <w:rPr>
          <w:rFonts w:ascii="Times New Roman" w:hAnsi="Times New Roman" w:cs="Times New Roman"/>
          <w:sz w:val="24"/>
          <w:szCs w:val="24"/>
          <w:lang w:val="en-GB"/>
        </w:rPr>
        <w:t>f the</w:t>
      </w:r>
      <w:r w:rsidR="00B13A62" w:rsidRPr="00D9330B">
        <w:rPr>
          <w:rFonts w:ascii="Times New Roman" w:hAnsi="Times New Roman" w:cs="Times New Roman"/>
          <w:sz w:val="24"/>
          <w:szCs w:val="24"/>
          <w:lang w:val="en-GB"/>
        </w:rPr>
        <w:t xml:space="preserve"> forces </w:t>
      </w:r>
      <w:r w:rsidR="00FC4F3F" w:rsidRPr="00D9330B">
        <w:rPr>
          <w:rFonts w:ascii="Times New Roman" w:hAnsi="Times New Roman" w:cs="Times New Roman"/>
          <w:sz w:val="24"/>
          <w:szCs w:val="24"/>
          <w:lang w:val="en-GB"/>
        </w:rPr>
        <w:t>supporting them.</w:t>
      </w:r>
      <w:r w:rsidR="005B4FEF" w:rsidRPr="00D9330B">
        <w:rPr>
          <w:rFonts w:ascii="Times New Roman" w:hAnsi="Times New Roman" w:cs="Times New Roman"/>
          <w:sz w:val="24"/>
          <w:szCs w:val="24"/>
          <w:lang w:val="en-GB"/>
        </w:rPr>
        <w:t xml:space="preserve"> </w:t>
      </w:r>
      <w:r w:rsidR="00CB75D6" w:rsidRPr="00D9330B">
        <w:rPr>
          <w:rFonts w:ascii="Times New Roman" w:hAnsi="Times New Roman" w:cs="Times New Roman"/>
          <w:sz w:val="24"/>
          <w:szCs w:val="24"/>
          <w:lang w:val="en-GB"/>
        </w:rPr>
        <w:t>A</w:t>
      </w:r>
      <w:r w:rsidR="0023207E" w:rsidRPr="00D9330B">
        <w:rPr>
          <w:rFonts w:ascii="Times New Roman" w:hAnsi="Times New Roman" w:cs="Times New Roman"/>
          <w:sz w:val="24"/>
          <w:szCs w:val="24"/>
          <w:lang w:val="en-GB"/>
        </w:rPr>
        <w:t>ttempts to</w:t>
      </w:r>
      <w:r w:rsidR="00CB75D6" w:rsidRPr="00D9330B">
        <w:rPr>
          <w:rFonts w:ascii="Times New Roman" w:hAnsi="Times New Roman" w:cs="Times New Roman"/>
          <w:sz w:val="24"/>
          <w:szCs w:val="24"/>
          <w:lang w:val="en-GB"/>
        </w:rPr>
        <w:t xml:space="preserve"> make major changes to</w:t>
      </w:r>
      <w:r w:rsidR="0023207E" w:rsidRPr="00D9330B">
        <w:rPr>
          <w:rFonts w:ascii="Times New Roman" w:hAnsi="Times New Roman" w:cs="Times New Roman"/>
          <w:sz w:val="24"/>
          <w:szCs w:val="24"/>
          <w:lang w:val="en-GB"/>
        </w:rPr>
        <w:t xml:space="preserve"> both</w:t>
      </w:r>
      <w:r w:rsidR="00FF0853" w:rsidRPr="00D9330B">
        <w:rPr>
          <w:rFonts w:ascii="Times New Roman" w:hAnsi="Times New Roman" w:cs="Times New Roman"/>
          <w:sz w:val="24"/>
          <w:szCs w:val="24"/>
          <w:lang w:val="en-GB"/>
        </w:rPr>
        <w:t xml:space="preserve"> public </w:t>
      </w:r>
      <w:r w:rsidR="003E4434">
        <w:rPr>
          <w:rFonts w:ascii="Times New Roman" w:hAnsi="Times New Roman" w:cs="Times New Roman"/>
          <w:sz w:val="24"/>
          <w:szCs w:val="24"/>
          <w:lang w:val="en-GB"/>
        </w:rPr>
        <w:t>pension systems</w:t>
      </w:r>
      <w:r w:rsidR="00BC6916" w:rsidRPr="00D9330B">
        <w:rPr>
          <w:rFonts w:ascii="Times New Roman" w:hAnsi="Times New Roman" w:cs="Times New Roman"/>
          <w:sz w:val="24"/>
          <w:szCs w:val="24"/>
          <w:lang w:val="en-GB"/>
        </w:rPr>
        <w:t xml:space="preserve"> have</w:t>
      </w:r>
      <w:r w:rsidR="00FF0853" w:rsidRPr="00D9330B">
        <w:rPr>
          <w:rFonts w:ascii="Times New Roman" w:hAnsi="Times New Roman" w:cs="Times New Roman"/>
          <w:sz w:val="24"/>
          <w:szCs w:val="24"/>
          <w:lang w:val="en-GB"/>
        </w:rPr>
        <w:t xml:space="preserve"> been </w:t>
      </w:r>
      <w:r w:rsidR="00393475" w:rsidRPr="00D9330B">
        <w:rPr>
          <w:rFonts w:ascii="Times New Roman" w:hAnsi="Times New Roman" w:cs="Times New Roman"/>
          <w:sz w:val="24"/>
          <w:szCs w:val="24"/>
          <w:lang w:val="en-GB"/>
        </w:rPr>
        <w:t>fr</w:t>
      </w:r>
      <w:r w:rsidR="00CB75D6" w:rsidRPr="00D9330B">
        <w:rPr>
          <w:rFonts w:ascii="Times New Roman" w:hAnsi="Times New Roman" w:cs="Times New Roman"/>
          <w:sz w:val="24"/>
          <w:szCs w:val="24"/>
          <w:lang w:val="en-GB"/>
        </w:rPr>
        <w:t>ustrated by a</w:t>
      </w:r>
      <w:r w:rsidR="00FF0853" w:rsidRPr="00D9330B">
        <w:rPr>
          <w:rFonts w:ascii="Times New Roman" w:hAnsi="Times New Roman" w:cs="Times New Roman"/>
          <w:sz w:val="24"/>
          <w:szCs w:val="24"/>
          <w:lang w:val="en-GB"/>
        </w:rPr>
        <w:t xml:space="preserve"> </w:t>
      </w:r>
      <w:r w:rsidR="00E66A10" w:rsidRPr="00D9330B">
        <w:rPr>
          <w:rFonts w:ascii="Times New Roman" w:hAnsi="Times New Roman" w:cs="Times New Roman"/>
          <w:sz w:val="24"/>
          <w:szCs w:val="24"/>
          <w:lang w:val="en-GB"/>
        </w:rPr>
        <w:t xml:space="preserve">broad </w:t>
      </w:r>
      <w:r w:rsidR="00E01AC2" w:rsidRPr="00D9330B">
        <w:rPr>
          <w:rFonts w:ascii="Times New Roman" w:hAnsi="Times New Roman" w:cs="Times New Roman"/>
          <w:sz w:val="24"/>
          <w:szCs w:val="24"/>
          <w:lang w:val="en-GB"/>
        </w:rPr>
        <w:t>coalition</w:t>
      </w:r>
      <w:r w:rsidR="00393475" w:rsidRPr="00D9330B">
        <w:rPr>
          <w:rFonts w:ascii="Times New Roman" w:hAnsi="Times New Roman" w:cs="Times New Roman"/>
          <w:sz w:val="24"/>
          <w:szCs w:val="24"/>
          <w:lang w:val="en-GB"/>
        </w:rPr>
        <w:t xml:space="preserve"> of </w:t>
      </w:r>
      <w:r w:rsidR="00D733F8" w:rsidRPr="00D9330B">
        <w:rPr>
          <w:rFonts w:ascii="Times New Roman" w:hAnsi="Times New Roman" w:cs="Times New Roman"/>
          <w:sz w:val="24"/>
          <w:szCs w:val="24"/>
          <w:lang w:val="en-GB"/>
        </w:rPr>
        <w:t>legislators,</w:t>
      </w:r>
      <w:r w:rsidR="001A3E4A" w:rsidRPr="00D9330B">
        <w:rPr>
          <w:rFonts w:ascii="Times New Roman" w:hAnsi="Times New Roman" w:cs="Times New Roman"/>
          <w:sz w:val="24"/>
          <w:szCs w:val="24"/>
          <w:lang w:val="en-GB"/>
        </w:rPr>
        <w:t xml:space="preserve"> unions and</w:t>
      </w:r>
      <w:r w:rsidR="00393475" w:rsidRPr="00D9330B">
        <w:rPr>
          <w:rFonts w:ascii="Times New Roman" w:hAnsi="Times New Roman" w:cs="Times New Roman"/>
          <w:sz w:val="24"/>
          <w:szCs w:val="24"/>
          <w:lang w:val="en-GB"/>
        </w:rPr>
        <w:t xml:space="preserve"> pensioner</w:t>
      </w:r>
      <w:r w:rsidR="009C17F7" w:rsidRPr="00D9330B">
        <w:rPr>
          <w:rFonts w:ascii="Times New Roman" w:hAnsi="Times New Roman" w:cs="Times New Roman"/>
          <w:sz w:val="24"/>
          <w:szCs w:val="24"/>
          <w:lang w:val="en-GB"/>
        </w:rPr>
        <w:t>s’</w:t>
      </w:r>
      <w:r w:rsidR="00393475" w:rsidRPr="00D9330B">
        <w:rPr>
          <w:rFonts w:ascii="Times New Roman" w:hAnsi="Times New Roman" w:cs="Times New Roman"/>
          <w:sz w:val="24"/>
          <w:szCs w:val="24"/>
          <w:lang w:val="en-GB"/>
        </w:rPr>
        <w:t xml:space="preserve"> </w:t>
      </w:r>
      <w:r w:rsidR="009C17F7" w:rsidRPr="00D9330B">
        <w:rPr>
          <w:rFonts w:ascii="Times New Roman" w:hAnsi="Times New Roman" w:cs="Times New Roman"/>
          <w:sz w:val="24"/>
          <w:szCs w:val="24"/>
          <w:lang w:val="en-GB"/>
        </w:rPr>
        <w:t>groups</w:t>
      </w:r>
      <w:r w:rsidR="001F6878" w:rsidRPr="00D9330B">
        <w:rPr>
          <w:rFonts w:ascii="Times New Roman" w:hAnsi="Times New Roman" w:cs="Times New Roman"/>
          <w:sz w:val="24"/>
          <w:szCs w:val="24"/>
          <w:lang w:val="en-GB"/>
        </w:rPr>
        <w:t>.</w:t>
      </w:r>
      <w:r w:rsidR="00071155" w:rsidRPr="00D9330B">
        <w:rPr>
          <w:rStyle w:val="FootnoteReference"/>
          <w:rFonts w:ascii="Times New Roman" w:hAnsi="Times New Roman" w:cs="Times New Roman"/>
          <w:sz w:val="24"/>
          <w:szCs w:val="24"/>
          <w:lang w:val="en-GB"/>
        </w:rPr>
        <w:footnoteReference w:id="100"/>
      </w:r>
      <w:r w:rsidR="00AD5F3E" w:rsidRPr="00D9330B">
        <w:rPr>
          <w:rFonts w:ascii="Times New Roman" w:hAnsi="Times New Roman" w:cs="Times New Roman"/>
          <w:sz w:val="24"/>
          <w:szCs w:val="24"/>
          <w:lang w:val="en-GB"/>
        </w:rPr>
        <w:t xml:space="preserve"> Legislative resistance to pension reform has come from a</w:t>
      </w:r>
      <w:r w:rsidR="003A4474" w:rsidRPr="00D9330B">
        <w:rPr>
          <w:rFonts w:ascii="Times New Roman" w:hAnsi="Times New Roman" w:cs="Times New Roman"/>
          <w:sz w:val="24"/>
          <w:szCs w:val="24"/>
          <w:lang w:val="en-GB"/>
        </w:rPr>
        <w:t xml:space="preserve"> </w:t>
      </w:r>
      <w:r w:rsidR="00172BAC" w:rsidRPr="00D9330B">
        <w:rPr>
          <w:rFonts w:ascii="Times New Roman" w:hAnsi="Times New Roman" w:cs="Times New Roman"/>
          <w:sz w:val="24"/>
          <w:szCs w:val="24"/>
          <w:lang w:val="en-GB"/>
        </w:rPr>
        <w:t xml:space="preserve">wide </w:t>
      </w:r>
      <w:r w:rsidR="003A4474" w:rsidRPr="00D9330B">
        <w:rPr>
          <w:rFonts w:ascii="Times New Roman" w:hAnsi="Times New Roman" w:cs="Times New Roman"/>
          <w:sz w:val="24"/>
          <w:szCs w:val="24"/>
          <w:lang w:val="en-GB"/>
        </w:rPr>
        <w:t xml:space="preserve">range of </w:t>
      </w:r>
      <w:r w:rsidR="00AD5F3E" w:rsidRPr="00D9330B">
        <w:rPr>
          <w:rFonts w:ascii="Times New Roman" w:hAnsi="Times New Roman" w:cs="Times New Roman"/>
          <w:sz w:val="24"/>
          <w:szCs w:val="24"/>
          <w:lang w:val="en-GB"/>
        </w:rPr>
        <w:t>parties, but the</w:t>
      </w:r>
      <w:r w:rsidR="002616AA" w:rsidRPr="00D9330B">
        <w:rPr>
          <w:rFonts w:ascii="Times New Roman" w:hAnsi="Times New Roman" w:cs="Times New Roman"/>
          <w:sz w:val="24"/>
          <w:szCs w:val="24"/>
          <w:lang w:val="en-GB"/>
        </w:rPr>
        <w:t xml:space="preserve"> PT and other left parties have</w:t>
      </w:r>
      <w:r w:rsidR="009F7487" w:rsidRPr="00D9330B">
        <w:rPr>
          <w:rFonts w:ascii="Times New Roman" w:hAnsi="Times New Roman" w:cs="Times New Roman"/>
          <w:sz w:val="24"/>
          <w:szCs w:val="24"/>
          <w:lang w:val="en-GB"/>
        </w:rPr>
        <w:t xml:space="preserve"> </w:t>
      </w:r>
      <w:r w:rsidR="00AD5F3E" w:rsidRPr="00D9330B">
        <w:rPr>
          <w:rFonts w:ascii="Times New Roman" w:hAnsi="Times New Roman" w:cs="Times New Roman"/>
          <w:sz w:val="24"/>
          <w:szCs w:val="24"/>
          <w:lang w:val="en-GB"/>
        </w:rPr>
        <w:t>been the staunchest defenders of the status quo</w:t>
      </w:r>
      <w:r w:rsidR="005B4FEF" w:rsidRPr="00D9330B">
        <w:rPr>
          <w:rFonts w:ascii="Times New Roman" w:hAnsi="Times New Roman" w:cs="Times New Roman"/>
          <w:sz w:val="24"/>
          <w:szCs w:val="24"/>
          <w:lang w:val="en-GB"/>
        </w:rPr>
        <w:t>, especially under President Fernando Henrique Cardoso</w:t>
      </w:r>
      <w:r w:rsidR="003A4474" w:rsidRPr="00D9330B">
        <w:rPr>
          <w:rFonts w:ascii="Times New Roman" w:hAnsi="Times New Roman" w:cs="Times New Roman"/>
          <w:sz w:val="24"/>
          <w:szCs w:val="24"/>
          <w:lang w:val="en-GB"/>
        </w:rPr>
        <w:t xml:space="preserve"> (1995</w:t>
      </w:r>
      <w:r w:rsidR="005B4FEF" w:rsidRPr="00D9330B">
        <w:rPr>
          <w:rFonts w:ascii="Times New Roman" w:hAnsi="Times New Roman" w:cs="Times New Roman"/>
          <w:sz w:val="24"/>
          <w:szCs w:val="24"/>
          <w:lang w:val="en-GB"/>
        </w:rPr>
        <w:t>-2002) of the PSDB</w:t>
      </w:r>
      <w:r w:rsidR="003A4474" w:rsidRPr="00D9330B">
        <w:rPr>
          <w:rFonts w:ascii="Times New Roman" w:hAnsi="Times New Roman" w:cs="Times New Roman"/>
          <w:sz w:val="24"/>
          <w:szCs w:val="24"/>
          <w:lang w:val="en-GB"/>
        </w:rPr>
        <w:t xml:space="preserve">, </w:t>
      </w:r>
      <w:r w:rsidR="006D0785" w:rsidRPr="00D9330B">
        <w:rPr>
          <w:rFonts w:ascii="Times New Roman" w:hAnsi="Times New Roman" w:cs="Times New Roman"/>
          <w:sz w:val="24"/>
          <w:szCs w:val="24"/>
          <w:lang w:val="en-GB"/>
        </w:rPr>
        <w:t>who attempted a</w:t>
      </w:r>
      <w:r w:rsidR="004302FD" w:rsidRPr="00D9330B">
        <w:rPr>
          <w:rFonts w:ascii="Times New Roman" w:hAnsi="Times New Roman" w:cs="Times New Roman"/>
          <w:sz w:val="24"/>
          <w:szCs w:val="24"/>
          <w:lang w:val="en-GB"/>
        </w:rPr>
        <w:t xml:space="preserve"> major pension reform but was forced to settle for a minor one</w:t>
      </w:r>
      <w:r w:rsidR="005B4FEF" w:rsidRPr="00D9330B">
        <w:rPr>
          <w:rFonts w:ascii="Times New Roman" w:hAnsi="Times New Roman" w:cs="Times New Roman"/>
          <w:sz w:val="24"/>
          <w:szCs w:val="24"/>
          <w:lang w:val="en-GB"/>
        </w:rPr>
        <w:t>.</w:t>
      </w:r>
      <w:r w:rsidR="006B04F1" w:rsidRPr="00D9330B">
        <w:rPr>
          <w:rFonts w:ascii="Times New Roman" w:hAnsi="Times New Roman" w:cs="Times New Roman"/>
          <w:sz w:val="24"/>
          <w:szCs w:val="24"/>
          <w:lang w:val="en-GB"/>
        </w:rPr>
        <w:t xml:space="preserve"> </w:t>
      </w:r>
      <w:r w:rsidR="009F7487" w:rsidRPr="00D9330B">
        <w:rPr>
          <w:rFonts w:ascii="Times New Roman" w:hAnsi="Times New Roman" w:cs="Times New Roman"/>
          <w:sz w:val="24"/>
          <w:szCs w:val="24"/>
          <w:lang w:val="en-GB"/>
        </w:rPr>
        <w:t xml:space="preserve">President Luiz </w:t>
      </w:r>
      <w:proofErr w:type="spellStart"/>
      <w:r w:rsidR="009F7487" w:rsidRPr="00D9330B">
        <w:rPr>
          <w:rFonts w:ascii="Times New Roman" w:hAnsi="Times New Roman" w:cs="Times New Roman"/>
          <w:sz w:val="24"/>
          <w:szCs w:val="24"/>
          <w:lang w:val="en-GB"/>
        </w:rPr>
        <w:t>Inácio</w:t>
      </w:r>
      <w:proofErr w:type="spellEnd"/>
      <w:r w:rsidR="009F7487" w:rsidRPr="00D9330B">
        <w:rPr>
          <w:rFonts w:ascii="Times New Roman" w:hAnsi="Times New Roman" w:cs="Times New Roman"/>
          <w:sz w:val="24"/>
          <w:szCs w:val="24"/>
          <w:lang w:val="en-GB"/>
        </w:rPr>
        <w:t xml:space="preserve"> Lula da Silva (2003-2010)</w:t>
      </w:r>
      <w:r w:rsidR="003A4474" w:rsidRPr="00D9330B">
        <w:rPr>
          <w:rFonts w:ascii="Times New Roman" w:hAnsi="Times New Roman" w:cs="Times New Roman"/>
          <w:sz w:val="24"/>
          <w:szCs w:val="24"/>
          <w:lang w:val="en-GB"/>
        </w:rPr>
        <w:t xml:space="preserve"> of the PT</w:t>
      </w:r>
      <w:r w:rsidR="009F7487" w:rsidRPr="00D9330B">
        <w:rPr>
          <w:rFonts w:ascii="Times New Roman" w:hAnsi="Times New Roman" w:cs="Times New Roman"/>
          <w:sz w:val="24"/>
          <w:szCs w:val="24"/>
          <w:lang w:val="en-GB"/>
        </w:rPr>
        <w:t xml:space="preserve"> secure</w:t>
      </w:r>
      <w:r w:rsidR="006D0785" w:rsidRPr="00D9330B">
        <w:rPr>
          <w:rFonts w:ascii="Times New Roman" w:hAnsi="Times New Roman" w:cs="Times New Roman"/>
          <w:sz w:val="24"/>
          <w:szCs w:val="24"/>
          <w:lang w:val="en-GB"/>
        </w:rPr>
        <w:t>d his own modest</w:t>
      </w:r>
      <w:r w:rsidR="009F7487" w:rsidRPr="00D9330B">
        <w:rPr>
          <w:rFonts w:ascii="Times New Roman" w:hAnsi="Times New Roman" w:cs="Times New Roman"/>
          <w:sz w:val="24"/>
          <w:szCs w:val="24"/>
          <w:lang w:val="en-GB"/>
        </w:rPr>
        <w:t xml:space="preserve"> </w:t>
      </w:r>
      <w:r w:rsidR="003E4434">
        <w:rPr>
          <w:rFonts w:ascii="Times New Roman" w:hAnsi="Times New Roman" w:cs="Times New Roman"/>
          <w:sz w:val="24"/>
          <w:szCs w:val="24"/>
          <w:lang w:val="en-GB"/>
        </w:rPr>
        <w:t>reform of the pension system</w:t>
      </w:r>
      <w:r w:rsidR="009F7487" w:rsidRPr="00D9330B">
        <w:rPr>
          <w:rFonts w:ascii="Times New Roman" w:hAnsi="Times New Roman" w:cs="Times New Roman"/>
          <w:sz w:val="24"/>
          <w:szCs w:val="24"/>
          <w:lang w:val="en-GB"/>
        </w:rPr>
        <w:t xml:space="preserve"> for public employ</w:t>
      </w:r>
      <w:r w:rsidR="006D0785" w:rsidRPr="00D9330B">
        <w:rPr>
          <w:rFonts w:ascii="Times New Roman" w:hAnsi="Times New Roman" w:cs="Times New Roman"/>
          <w:sz w:val="24"/>
          <w:szCs w:val="24"/>
          <w:lang w:val="en-GB"/>
        </w:rPr>
        <w:t>ees, but only at the cost</w:t>
      </w:r>
      <w:r w:rsidR="002616AA" w:rsidRPr="00D9330B">
        <w:rPr>
          <w:rFonts w:ascii="Times New Roman" w:hAnsi="Times New Roman" w:cs="Times New Roman"/>
          <w:sz w:val="24"/>
          <w:szCs w:val="24"/>
          <w:lang w:val="en-GB"/>
        </w:rPr>
        <w:t xml:space="preserve"> of</w:t>
      </w:r>
      <w:r w:rsidR="006D0785" w:rsidRPr="00D9330B">
        <w:rPr>
          <w:rFonts w:ascii="Times New Roman" w:hAnsi="Times New Roman" w:cs="Times New Roman"/>
          <w:sz w:val="24"/>
          <w:szCs w:val="24"/>
          <w:lang w:val="en-GB"/>
        </w:rPr>
        <w:t xml:space="preserve"> </w:t>
      </w:r>
      <w:r w:rsidR="00A53E87">
        <w:rPr>
          <w:rFonts w:ascii="Times New Roman" w:hAnsi="Times New Roman" w:cs="Times New Roman"/>
          <w:sz w:val="24"/>
          <w:szCs w:val="24"/>
          <w:lang w:val="en-GB"/>
        </w:rPr>
        <w:t xml:space="preserve">provoking </w:t>
      </w:r>
      <w:r w:rsidR="006D0785" w:rsidRPr="00D9330B">
        <w:rPr>
          <w:rFonts w:ascii="Times New Roman" w:hAnsi="Times New Roman" w:cs="Times New Roman"/>
          <w:sz w:val="24"/>
          <w:szCs w:val="24"/>
          <w:lang w:val="en-GB"/>
        </w:rPr>
        <w:t>acute</w:t>
      </w:r>
      <w:r w:rsidR="002616AA" w:rsidRPr="00D9330B">
        <w:rPr>
          <w:rFonts w:ascii="Times New Roman" w:hAnsi="Times New Roman" w:cs="Times New Roman"/>
          <w:sz w:val="24"/>
          <w:szCs w:val="24"/>
          <w:lang w:val="en-GB"/>
        </w:rPr>
        <w:t xml:space="preserve"> </w:t>
      </w:r>
      <w:r w:rsidR="009B7A45" w:rsidRPr="00D9330B">
        <w:rPr>
          <w:rFonts w:ascii="Times New Roman" w:hAnsi="Times New Roman" w:cs="Times New Roman"/>
          <w:sz w:val="24"/>
          <w:szCs w:val="24"/>
          <w:lang w:val="en-GB"/>
        </w:rPr>
        <w:t xml:space="preserve">intra-party </w:t>
      </w:r>
      <w:r w:rsidR="002616AA" w:rsidRPr="00D9330B">
        <w:rPr>
          <w:rFonts w:ascii="Times New Roman" w:hAnsi="Times New Roman" w:cs="Times New Roman"/>
          <w:sz w:val="24"/>
          <w:szCs w:val="24"/>
          <w:lang w:val="en-GB"/>
        </w:rPr>
        <w:t>tensi</w:t>
      </w:r>
      <w:r w:rsidR="009B7A45" w:rsidRPr="00D9330B">
        <w:rPr>
          <w:rFonts w:ascii="Times New Roman" w:hAnsi="Times New Roman" w:cs="Times New Roman"/>
          <w:sz w:val="24"/>
          <w:szCs w:val="24"/>
          <w:lang w:val="en-GB"/>
        </w:rPr>
        <w:t>ons</w:t>
      </w:r>
      <w:r w:rsidR="009F7487" w:rsidRPr="00D9330B">
        <w:rPr>
          <w:rFonts w:ascii="Times New Roman" w:hAnsi="Times New Roman" w:cs="Times New Roman"/>
          <w:sz w:val="24"/>
          <w:szCs w:val="24"/>
          <w:lang w:val="en-GB"/>
        </w:rPr>
        <w:t>.</w:t>
      </w:r>
    </w:p>
    <w:p w:rsidR="00B44012" w:rsidRDefault="00B70482" w:rsidP="00606DA0">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That the l</w:t>
      </w:r>
      <w:r>
        <w:rPr>
          <w:rFonts w:ascii="Times New Roman" w:hAnsi="Times New Roman" w:cs="Times New Roman"/>
          <w:sz w:val="24"/>
          <w:szCs w:val="24"/>
          <w:lang w:val="en-GB"/>
        </w:rPr>
        <w:t>eft would be a</w:t>
      </w:r>
      <w:r w:rsidRPr="00D9330B">
        <w:rPr>
          <w:rFonts w:ascii="Times New Roman" w:hAnsi="Times New Roman" w:cs="Times New Roman"/>
          <w:sz w:val="24"/>
          <w:szCs w:val="24"/>
          <w:lang w:val="en-GB"/>
        </w:rPr>
        <w:t xml:space="preserve"> defender of the public employee pension system may seem ironic, since that system is widely seen as regressive.</w:t>
      </w:r>
      <w:r>
        <w:rPr>
          <w:rFonts w:ascii="Times New Roman" w:hAnsi="Times New Roman" w:cs="Times New Roman"/>
          <w:sz w:val="24"/>
          <w:szCs w:val="24"/>
          <w:lang w:val="en-GB"/>
        </w:rPr>
        <w:t xml:space="preserve"> </w:t>
      </w:r>
      <w:r w:rsidRPr="00D9330B">
        <w:rPr>
          <w:rFonts w:ascii="Times New Roman" w:hAnsi="Times New Roman" w:cs="Times New Roman"/>
          <w:sz w:val="24"/>
          <w:szCs w:val="24"/>
          <w:lang w:val="en-GB"/>
        </w:rPr>
        <w:t>However, it makes sense if one considers the weight of this group within the CUT and PT. Although combative unionism of the democratic transition era sprung largely from industry, the sluggish growth of this sector in subsequent decades, combined with the steady expansion of public sector unionism, has increased the importance of public employees.</w:t>
      </w:r>
      <w:r w:rsidRPr="00D9330B">
        <w:rPr>
          <w:rStyle w:val="FootnoteReference"/>
          <w:rFonts w:ascii="Times New Roman" w:hAnsi="Times New Roman" w:cs="Times New Roman"/>
          <w:sz w:val="24"/>
          <w:szCs w:val="24"/>
          <w:lang w:val="en-GB"/>
        </w:rPr>
        <w:footnoteReference w:id="101"/>
      </w:r>
      <w:r w:rsidRPr="00D9330B">
        <w:rPr>
          <w:rFonts w:ascii="Times New Roman" w:hAnsi="Times New Roman" w:cs="Times New Roman"/>
          <w:sz w:val="24"/>
          <w:szCs w:val="24"/>
          <w:lang w:val="en-GB"/>
        </w:rPr>
        <w:t xml:space="preserve"> For example, a st</w:t>
      </w:r>
      <w:r>
        <w:rPr>
          <w:rFonts w:ascii="Times New Roman" w:hAnsi="Times New Roman" w:cs="Times New Roman"/>
          <w:sz w:val="24"/>
          <w:szCs w:val="24"/>
          <w:lang w:val="en-GB"/>
        </w:rPr>
        <w:t>udy of union membership</w:t>
      </w:r>
      <w:r w:rsidRPr="00D9330B">
        <w:rPr>
          <w:rFonts w:ascii="Times New Roman" w:hAnsi="Times New Roman" w:cs="Times New Roman"/>
          <w:sz w:val="24"/>
          <w:szCs w:val="24"/>
          <w:lang w:val="en-GB"/>
        </w:rPr>
        <w:t xml:space="preserve"> in </w:t>
      </w:r>
      <w:r w:rsidRPr="00D9330B">
        <w:rPr>
          <w:rFonts w:ascii="Times New Roman" w:hAnsi="Times New Roman" w:cs="Times New Roman"/>
          <w:sz w:val="24"/>
          <w:szCs w:val="24"/>
          <w:lang w:val="en-GB"/>
        </w:rPr>
        <w:lastRenderedPageBreak/>
        <w:t>2005 and 2011 showed that public e</w:t>
      </w:r>
      <w:r>
        <w:rPr>
          <w:rFonts w:ascii="Times New Roman" w:hAnsi="Times New Roman" w:cs="Times New Roman"/>
          <w:sz w:val="24"/>
          <w:szCs w:val="24"/>
          <w:lang w:val="en-GB"/>
        </w:rPr>
        <w:t>mployees had the highest unionis</w:t>
      </w:r>
      <w:r w:rsidRPr="00D9330B">
        <w:rPr>
          <w:rFonts w:ascii="Times New Roman" w:hAnsi="Times New Roman" w:cs="Times New Roman"/>
          <w:sz w:val="24"/>
          <w:szCs w:val="24"/>
          <w:lang w:val="en-GB"/>
        </w:rPr>
        <w:t>ation rate of any professional category in both years.</w:t>
      </w:r>
      <w:r w:rsidRPr="00D9330B">
        <w:rPr>
          <w:rStyle w:val="FootnoteReference"/>
          <w:rFonts w:ascii="Times New Roman" w:hAnsi="Times New Roman" w:cs="Times New Roman"/>
          <w:sz w:val="24"/>
          <w:szCs w:val="24"/>
          <w:lang w:val="en-GB"/>
        </w:rPr>
        <w:footnoteReference w:id="102"/>
      </w:r>
    </w:p>
    <w:p w:rsidR="0080768D" w:rsidRDefault="00FE5F4E" w:rsidP="005B4FEF">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At the same time that they</w:t>
      </w:r>
      <w:r w:rsidR="00D24456">
        <w:rPr>
          <w:rFonts w:ascii="Times New Roman" w:hAnsi="Times New Roman" w:cs="Times New Roman"/>
          <w:sz w:val="24"/>
          <w:szCs w:val="24"/>
          <w:lang w:val="en-GB"/>
        </w:rPr>
        <w:t xml:space="preserve"> have</w:t>
      </w:r>
      <w:r>
        <w:rPr>
          <w:rFonts w:ascii="Times New Roman" w:hAnsi="Times New Roman" w:cs="Times New Roman"/>
          <w:sz w:val="24"/>
          <w:szCs w:val="24"/>
          <w:lang w:val="en-GB"/>
        </w:rPr>
        <w:t xml:space="preserve"> defended the contributory pension systems, left and centre parties </w:t>
      </w:r>
      <w:r w:rsidR="00F87C9B">
        <w:rPr>
          <w:rFonts w:ascii="Times New Roman" w:hAnsi="Times New Roman" w:cs="Times New Roman"/>
          <w:sz w:val="24"/>
          <w:szCs w:val="24"/>
          <w:lang w:val="en-GB"/>
        </w:rPr>
        <w:t xml:space="preserve">have </w:t>
      </w:r>
      <w:r>
        <w:rPr>
          <w:rFonts w:ascii="Times New Roman" w:hAnsi="Times New Roman" w:cs="Times New Roman"/>
          <w:sz w:val="24"/>
          <w:szCs w:val="24"/>
          <w:lang w:val="en-GB"/>
        </w:rPr>
        <w:t>expanded social assistance</w:t>
      </w:r>
      <w:r w:rsidR="00B70482">
        <w:rPr>
          <w:rFonts w:ascii="Times New Roman" w:hAnsi="Times New Roman" w:cs="Times New Roman"/>
          <w:sz w:val="24"/>
          <w:szCs w:val="24"/>
          <w:lang w:val="en-GB"/>
        </w:rPr>
        <w:t>, especially</w:t>
      </w:r>
      <w:r>
        <w:rPr>
          <w:rFonts w:ascii="Times New Roman" w:hAnsi="Times New Roman" w:cs="Times New Roman"/>
          <w:sz w:val="24"/>
          <w:szCs w:val="24"/>
          <w:lang w:val="en-GB"/>
        </w:rPr>
        <w:t xml:space="preserve"> non-contributory pensions and the conditional cash transfer program </w:t>
      </w:r>
      <w:proofErr w:type="spellStart"/>
      <w:r w:rsidRPr="00541B97">
        <w:rPr>
          <w:rFonts w:ascii="Times New Roman" w:hAnsi="Times New Roman" w:cs="Times New Roman"/>
          <w:i/>
          <w:sz w:val="24"/>
          <w:szCs w:val="24"/>
          <w:lang w:val="en-GB"/>
        </w:rPr>
        <w:t>Bolsa</w:t>
      </w:r>
      <w:proofErr w:type="spellEnd"/>
      <w:r w:rsidRPr="00541B97">
        <w:rPr>
          <w:rFonts w:ascii="Times New Roman" w:hAnsi="Times New Roman" w:cs="Times New Roman"/>
          <w:i/>
          <w:sz w:val="24"/>
          <w:szCs w:val="24"/>
          <w:lang w:val="en-GB"/>
        </w:rPr>
        <w:t xml:space="preserve"> </w:t>
      </w:r>
      <w:proofErr w:type="spellStart"/>
      <w:r w:rsidRPr="00541B97">
        <w:rPr>
          <w:rFonts w:ascii="Times New Roman" w:hAnsi="Times New Roman" w:cs="Times New Roman"/>
          <w:i/>
          <w:sz w:val="24"/>
          <w:szCs w:val="24"/>
          <w:lang w:val="en-GB"/>
        </w:rPr>
        <w:t>Família</w:t>
      </w:r>
      <w:proofErr w:type="spellEnd"/>
      <w:r>
        <w:rPr>
          <w:rFonts w:ascii="Times New Roman" w:hAnsi="Times New Roman" w:cs="Times New Roman"/>
          <w:sz w:val="24"/>
          <w:szCs w:val="24"/>
          <w:lang w:val="en-GB"/>
        </w:rPr>
        <w:t>.</w:t>
      </w:r>
      <w:r w:rsidR="00B70482">
        <w:rPr>
          <w:rFonts w:ascii="Times New Roman" w:hAnsi="Times New Roman" w:cs="Times New Roman"/>
          <w:sz w:val="24"/>
          <w:szCs w:val="24"/>
          <w:lang w:val="en-GB"/>
        </w:rPr>
        <w:t xml:space="preserve"> They have also steadily increased the real value of the minimum wage, which raises the purchasing pow</w:t>
      </w:r>
      <w:r w:rsidR="005E0245">
        <w:rPr>
          <w:rFonts w:ascii="Times New Roman" w:hAnsi="Times New Roman" w:cs="Times New Roman"/>
          <w:sz w:val="24"/>
          <w:szCs w:val="24"/>
          <w:lang w:val="en-GB"/>
        </w:rPr>
        <w:t>er of the lowest pension</w:t>
      </w:r>
      <w:r w:rsidR="0017505B">
        <w:rPr>
          <w:rFonts w:ascii="Times New Roman" w:hAnsi="Times New Roman" w:cs="Times New Roman"/>
          <w:sz w:val="24"/>
          <w:szCs w:val="24"/>
          <w:lang w:val="en-GB"/>
        </w:rPr>
        <w:t xml:space="preserve">s, </w:t>
      </w:r>
      <w:r w:rsidR="00B70482">
        <w:rPr>
          <w:rFonts w:ascii="Times New Roman" w:hAnsi="Times New Roman" w:cs="Times New Roman"/>
          <w:sz w:val="24"/>
          <w:szCs w:val="24"/>
          <w:lang w:val="en-GB"/>
        </w:rPr>
        <w:t>both co</w:t>
      </w:r>
      <w:r w:rsidR="0017505B">
        <w:rPr>
          <w:rFonts w:ascii="Times New Roman" w:hAnsi="Times New Roman" w:cs="Times New Roman"/>
          <w:sz w:val="24"/>
          <w:szCs w:val="24"/>
          <w:lang w:val="en-GB"/>
        </w:rPr>
        <w:t>ntributory and non-contributory</w:t>
      </w:r>
      <w:r w:rsidR="00B70482">
        <w:rPr>
          <w:rFonts w:ascii="Times New Roman" w:hAnsi="Times New Roman" w:cs="Times New Roman"/>
          <w:sz w:val="24"/>
          <w:szCs w:val="24"/>
          <w:lang w:val="en-GB"/>
        </w:rPr>
        <w:t>.</w:t>
      </w:r>
      <w:r w:rsidR="0049425D">
        <w:rPr>
          <w:rStyle w:val="FootnoteReference"/>
          <w:rFonts w:ascii="Times New Roman" w:hAnsi="Times New Roman" w:cs="Times New Roman"/>
          <w:sz w:val="24"/>
          <w:szCs w:val="24"/>
          <w:lang w:val="en-GB"/>
        </w:rPr>
        <w:footnoteReference w:id="103"/>
      </w:r>
      <w:r>
        <w:rPr>
          <w:rFonts w:ascii="Times New Roman" w:hAnsi="Times New Roman" w:cs="Times New Roman"/>
          <w:sz w:val="24"/>
          <w:szCs w:val="24"/>
          <w:lang w:val="en-GB"/>
        </w:rPr>
        <w:t xml:space="preserve"> </w:t>
      </w:r>
      <w:r w:rsidR="00B70482">
        <w:rPr>
          <w:rFonts w:ascii="Times New Roman" w:hAnsi="Times New Roman" w:cs="Times New Roman"/>
          <w:sz w:val="24"/>
          <w:szCs w:val="24"/>
          <w:lang w:val="en-GB"/>
        </w:rPr>
        <w:t>These effects have been especially marked under</w:t>
      </w:r>
      <w:r w:rsidR="00A504CE">
        <w:rPr>
          <w:rFonts w:ascii="Times New Roman" w:hAnsi="Times New Roman" w:cs="Times New Roman"/>
          <w:sz w:val="24"/>
          <w:szCs w:val="24"/>
          <w:lang w:val="en-GB"/>
        </w:rPr>
        <w:t xml:space="preserve"> the PT</w:t>
      </w:r>
      <w:r w:rsidR="00D60E98">
        <w:rPr>
          <w:rFonts w:ascii="Times New Roman" w:hAnsi="Times New Roman" w:cs="Times New Roman"/>
          <w:sz w:val="24"/>
          <w:szCs w:val="24"/>
          <w:lang w:val="en-GB"/>
        </w:rPr>
        <w:t xml:space="preserve"> and have gradually tilted public spending toward greater equity</w:t>
      </w:r>
      <w:r>
        <w:rPr>
          <w:rFonts w:ascii="Times New Roman" w:hAnsi="Times New Roman" w:cs="Times New Roman"/>
          <w:sz w:val="24"/>
          <w:szCs w:val="24"/>
          <w:lang w:val="en-GB"/>
        </w:rPr>
        <w:t>.</w:t>
      </w:r>
      <w:r w:rsidR="00884E3E">
        <w:rPr>
          <w:rFonts w:ascii="Times New Roman" w:hAnsi="Times New Roman" w:cs="Times New Roman"/>
          <w:sz w:val="24"/>
          <w:szCs w:val="24"/>
          <w:lang w:val="en-GB"/>
        </w:rPr>
        <w:t xml:space="preserve"> </w:t>
      </w:r>
    </w:p>
    <w:p w:rsidR="00025656" w:rsidRDefault="00884E3E" w:rsidP="0049425D">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Mainly</w:t>
      </w:r>
      <w:r w:rsidR="00541B97">
        <w:rPr>
          <w:rFonts w:ascii="Times New Roman" w:hAnsi="Times New Roman" w:cs="Times New Roman"/>
          <w:sz w:val="24"/>
          <w:szCs w:val="24"/>
          <w:lang w:val="en-GB"/>
        </w:rPr>
        <w:t xml:space="preserve"> because of pension</w:t>
      </w:r>
      <w:r w:rsidR="0007419B">
        <w:rPr>
          <w:rFonts w:ascii="Times New Roman" w:hAnsi="Times New Roman" w:cs="Times New Roman"/>
          <w:sz w:val="24"/>
          <w:szCs w:val="24"/>
          <w:lang w:val="en-GB"/>
        </w:rPr>
        <w:t>s</w:t>
      </w:r>
      <w:r w:rsidR="00963B93">
        <w:rPr>
          <w:rFonts w:ascii="Times New Roman" w:hAnsi="Times New Roman" w:cs="Times New Roman"/>
          <w:sz w:val="24"/>
          <w:szCs w:val="24"/>
          <w:lang w:val="en-GB"/>
        </w:rPr>
        <w:t>, social spending incr</w:t>
      </w:r>
      <w:r w:rsidR="00654DBD">
        <w:rPr>
          <w:rFonts w:ascii="Times New Roman" w:hAnsi="Times New Roman" w:cs="Times New Roman"/>
          <w:sz w:val="24"/>
          <w:szCs w:val="24"/>
          <w:lang w:val="en-GB"/>
        </w:rPr>
        <w:t>eased its share of total</w:t>
      </w:r>
      <w:r w:rsidR="0007419B">
        <w:rPr>
          <w:rFonts w:ascii="Times New Roman" w:hAnsi="Times New Roman" w:cs="Times New Roman"/>
          <w:sz w:val="24"/>
          <w:szCs w:val="24"/>
          <w:lang w:val="en-GB"/>
        </w:rPr>
        <w:t xml:space="preserve"> public</w:t>
      </w:r>
      <w:r w:rsidR="00654DBD">
        <w:rPr>
          <w:rFonts w:ascii="Times New Roman" w:hAnsi="Times New Roman" w:cs="Times New Roman"/>
          <w:sz w:val="24"/>
          <w:szCs w:val="24"/>
          <w:lang w:val="en-GB"/>
        </w:rPr>
        <w:t xml:space="preserve"> </w:t>
      </w:r>
      <w:r w:rsidR="00963B93">
        <w:rPr>
          <w:rFonts w:ascii="Times New Roman" w:hAnsi="Times New Roman" w:cs="Times New Roman"/>
          <w:sz w:val="24"/>
          <w:szCs w:val="24"/>
          <w:lang w:val="en-GB"/>
        </w:rPr>
        <w:t>spending from</w:t>
      </w:r>
      <w:r w:rsidR="00351F40">
        <w:rPr>
          <w:rFonts w:ascii="Times New Roman" w:hAnsi="Times New Roman" w:cs="Times New Roman"/>
          <w:sz w:val="24"/>
          <w:szCs w:val="24"/>
          <w:lang w:val="en-GB"/>
        </w:rPr>
        <w:t xml:space="preserve"> 48.9 percent in 1990-1991 to 73.6 percent in 2008-2009</w:t>
      </w:r>
      <w:r w:rsidR="00963B93">
        <w:rPr>
          <w:rFonts w:ascii="Times New Roman" w:hAnsi="Times New Roman" w:cs="Times New Roman"/>
          <w:sz w:val="24"/>
          <w:szCs w:val="24"/>
          <w:lang w:val="en-GB"/>
        </w:rPr>
        <w:t>.</w:t>
      </w:r>
      <w:r w:rsidR="00363E3D">
        <w:rPr>
          <w:rStyle w:val="FootnoteReference"/>
          <w:rFonts w:ascii="Times New Roman" w:hAnsi="Times New Roman" w:cs="Times New Roman"/>
          <w:sz w:val="24"/>
          <w:szCs w:val="24"/>
          <w:lang w:val="en-GB"/>
        </w:rPr>
        <w:footnoteReference w:id="104"/>
      </w:r>
      <w:r>
        <w:rPr>
          <w:rFonts w:ascii="Times New Roman" w:hAnsi="Times New Roman" w:cs="Times New Roman"/>
          <w:sz w:val="24"/>
          <w:szCs w:val="24"/>
          <w:lang w:val="en-GB"/>
        </w:rPr>
        <w:t xml:space="preserve"> </w:t>
      </w:r>
      <w:r w:rsidR="0080768D">
        <w:rPr>
          <w:rFonts w:ascii="Times New Roman" w:hAnsi="Times New Roman" w:cs="Times New Roman"/>
          <w:sz w:val="24"/>
          <w:szCs w:val="24"/>
          <w:lang w:val="en-GB"/>
        </w:rPr>
        <w:t>Alt</w:t>
      </w:r>
      <w:r w:rsidR="001029AD">
        <w:rPr>
          <w:rFonts w:ascii="Times New Roman" w:hAnsi="Times New Roman" w:cs="Times New Roman"/>
          <w:sz w:val="24"/>
          <w:szCs w:val="24"/>
          <w:lang w:val="en-GB"/>
        </w:rPr>
        <w:t>hough social assistance</w:t>
      </w:r>
      <w:r w:rsidR="0080768D">
        <w:rPr>
          <w:rFonts w:ascii="Times New Roman" w:hAnsi="Times New Roman" w:cs="Times New Roman"/>
          <w:sz w:val="24"/>
          <w:szCs w:val="24"/>
          <w:lang w:val="en-GB"/>
        </w:rPr>
        <w:t xml:space="preserve"> has grown faster than any other </w:t>
      </w:r>
      <w:r w:rsidR="00E14845">
        <w:rPr>
          <w:rFonts w:ascii="Times New Roman" w:hAnsi="Times New Roman" w:cs="Times New Roman"/>
          <w:sz w:val="24"/>
          <w:szCs w:val="24"/>
          <w:lang w:val="en-GB"/>
        </w:rPr>
        <w:t xml:space="preserve">social spending </w:t>
      </w:r>
      <w:r w:rsidR="0080768D">
        <w:rPr>
          <w:rFonts w:ascii="Times New Roman" w:hAnsi="Times New Roman" w:cs="Times New Roman"/>
          <w:sz w:val="24"/>
          <w:szCs w:val="24"/>
          <w:lang w:val="en-GB"/>
        </w:rPr>
        <w:t>category</w:t>
      </w:r>
      <w:r w:rsidR="000F14A8">
        <w:rPr>
          <w:rFonts w:ascii="Times New Roman" w:hAnsi="Times New Roman" w:cs="Times New Roman"/>
          <w:sz w:val="24"/>
          <w:szCs w:val="24"/>
          <w:lang w:val="en-GB"/>
        </w:rPr>
        <w:t>,</w:t>
      </w:r>
      <w:r w:rsidR="0080768D">
        <w:rPr>
          <w:rFonts w:ascii="Times New Roman" w:hAnsi="Times New Roman" w:cs="Times New Roman"/>
          <w:sz w:val="24"/>
          <w:szCs w:val="24"/>
          <w:lang w:val="en-GB"/>
        </w:rPr>
        <w:t xml:space="preserve"> it remains only a small fraction (roughly 15-17 percent) of pension outlays. In contrast</w:t>
      </w:r>
      <w:r w:rsidR="0053318E">
        <w:rPr>
          <w:rFonts w:ascii="Times New Roman" w:hAnsi="Times New Roman" w:cs="Times New Roman"/>
          <w:sz w:val="24"/>
          <w:szCs w:val="24"/>
          <w:lang w:val="en-GB"/>
        </w:rPr>
        <w:t xml:space="preserve"> to social spending</w:t>
      </w:r>
      <w:r w:rsidR="0080768D">
        <w:rPr>
          <w:rFonts w:ascii="Times New Roman" w:hAnsi="Times New Roman" w:cs="Times New Roman"/>
          <w:sz w:val="24"/>
          <w:szCs w:val="24"/>
          <w:lang w:val="en-GB"/>
        </w:rPr>
        <w:t>, public investment in infrastructure and other areas has</w:t>
      </w:r>
      <w:r w:rsidR="0049425D">
        <w:rPr>
          <w:rFonts w:ascii="Times New Roman" w:hAnsi="Times New Roman" w:cs="Times New Roman"/>
          <w:sz w:val="24"/>
          <w:szCs w:val="24"/>
          <w:lang w:val="en-GB"/>
        </w:rPr>
        <w:t xml:space="preserve"> tended to decline</w:t>
      </w:r>
      <w:r w:rsidR="00363E3D">
        <w:rPr>
          <w:rFonts w:ascii="Times New Roman" w:hAnsi="Times New Roman" w:cs="Times New Roman"/>
          <w:sz w:val="24"/>
          <w:szCs w:val="24"/>
          <w:lang w:val="en-GB"/>
        </w:rPr>
        <w:t xml:space="preserve"> un</w:t>
      </w:r>
      <w:r w:rsidR="0049425D">
        <w:rPr>
          <w:rFonts w:ascii="Times New Roman" w:hAnsi="Times New Roman" w:cs="Times New Roman"/>
          <w:sz w:val="24"/>
          <w:szCs w:val="24"/>
          <w:lang w:val="en-GB"/>
        </w:rPr>
        <w:t>der democracy, dropping from an</w:t>
      </w:r>
      <w:r w:rsidR="00363E3D">
        <w:rPr>
          <w:rFonts w:ascii="Times New Roman" w:hAnsi="Times New Roman" w:cs="Times New Roman"/>
          <w:sz w:val="24"/>
          <w:szCs w:val="24"/>
          <w:lang w:val="en-GB"/>
        </w:rPr>
        <w:t xml:space="preserve"> average of 3.5 percent of GDP in 1969-1984 to 2.5 perce</w:t>
      </w:r>
      <w:r w:rsidR="0049425D">
        <w:rPr>
          <w:rFonts w:ascii="Times New Roman" w:hAnsi="Times New Roman" w:cs="Times New Roman"/>
          <w:sz w:val="24"/>
          <w:szCs w:val="24"/>
          <w:lang w:val="en-GB"/>
        </w:rPr>
        <w:t>nt in 1985-2007, despite an</w:t>
      </w:r>
      <w:r w:rsidR="00363E3D">
        <w:rPr>
          <w:rFonts w:ascii="Times New Roman" w:hAnsi="Times New Roman" w:cs="Times New Roman"/>
          <w:sz w:val="24"/>
          <w:szCs w:val="24"/>
          <w:lang w:val="en-GB"/>
        </w:rPr>
        <w:t xml:space="preserve"> increase in overall public spending</w:t>
      </w:r>
      <w:r w:rsidR="0080768D">
        <w:rPr>
          <w:rFonts w:ascii="Times New Roman" w:hAnsi="Times New Roman" w:cs="Times New Roman"/>
          <w:sz w:val="24"/>
          <w:szCs w:val="24"/>
          <w:lang w:val="en-GB"/>
        </w:rPr>
        <w:t>.</w:t>
      </w:r>
      <w:r w:rsidR="0049425D">
        <w:rPr>
          <w:rStyle w:val="FootnoteReference"/>
          <w:rFonts w:ascii="Times New Roman" w:hAnsi="Times New Roman" w:cs="Times New Roman"/>
          <w:sz w:val="24"/>
          <w:szCs w:val="24"/>
          <w:lang w:val="en-GB"/>
        </w:rPr>
        <w:footnoteReference w:id="105"/>
      </w:r>
    </w:p>
    <w:p w:rsidR="00AE5DEF" w:rsidRPr="00D9330B" w:rsidRDefault="009D6FBE" w:rsidP="00DB31BA">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The</w:t>
      </w:r>
      <w:r w:rsidR="003B0C5C" w:rsidRPr="00D9330B">
        <w:rPr>
          <w:rFonts w:ascii="Times New Roman" w:hAnsi="Times New Roman" w:cs="Times New Roman"/>
          <w:sz w:val="24"/>
          <w:szCs w:val="24"/>
          <w:lang w:val="en-GB"/>
        </w:rPr>
        <w:t xml:space="preserve"> co</w:t>
      </w:r>
      <w:r w:rsidR="005F6420" w:rsidRPr="00D9330B">
        <w:rPr>
          <w:rFonts w:ascii="Times New Roman" w:hAnsi="Times New Roman" w:cs="Times New Roman"/>
          <w:sz w:val="24"/>
          <w:szCs w:val="24"/>
          <w:lang w:val="en-GB"/>
        </w:rPr>
        <w:t>alition</w:t>
      </w:r>
      <w:r w:rsidR="00E14845">
        <w:rPr>
          <w:rFonts w:ascii="Times New Roman" w:hAnsi="Times New Roman" w:cs="Times New Roman"/>
          <w:sz w:val="24"/>
          <w:szCs w:val="24"/>
          <w:lang w:val="en-GB"/>
        </w:rPr>
        <w:t xml:space="preserve"> behind these</w:t>
      </w:r>
      <w:r>
        <w:rPr>
          <w:rFonts w:ascii="Times New Roman" w:hAnsi="Times New Roman" w:cs="Times New Roman"/>
          <w:sz w:val="24"/>
          <w:szCs w:val="24"/>
          <w:lang w:val="en-GB"/>
        </w:rPr>
        <w:t xml:space="preserve"> change</w:t>
      </w:r>
      <w:r w:rsidR="00E14845">
        <w:rPr>
          <w:rFonts w:ascii="Times New Roman" w:hAnsi="Times New Roman" w:cs="Times New Roman"/>
          <w:sz w:val="24"/>
          <w:szCs w:val="24"/>
          <w:lang w:val="en-GB"/>
        </w:rPr>
        <w:t>s</w:t>
      </w:r>
      <w:r>
        <w:rPr>
          <w:rFonts w:ascii="Times New Roman" w:hAnsi="Times New Roman" w:cs="Times New Roman"/>
          <w:sz w:val="24"/>
          <w:szCs w:val="24"/>
          <w:lang w:val="en-GB"/>
        </w:rPr>
        <w:t>, comprised</w:t>
      </w:r>
      <w:r w:rsidR="005F6420" w:rsidRPr="00D9330B">
        <w:rPr>
          <w:rFonts w:ascii="Times New Roman" w:hAnsi="Times New Roman" w:cs="Times New Roman"/>
          <w:sz w:val="24"/>
          <w:szCs w:val="24"/>
          <w:lang w:val="en-GB"/>
        </w:rPr>
        <w:t xml:space="preserve"> of public and private sector</w:t>
      </w:r>
      <w:r w:rsidR="00F14DB2" w:rsidRPr="00D9330B">
        <w:rPr>
          <w:rFonts w:ascii="Times New Roman" w:hAnsi="Times New Roman" w:cs="Times New Roman"/>
          <w:sz w:val="24"/>
          <w:szCs w:val="24"/>
          <w:lang w:val="en-GB"/>
        </w:rPr>
        <w:t xml:space="preserve"> pressure groups allied with </w:t>
      </w:r>
      <w:r w:rsidR="0013489B">
        <w:rPr>
          <w:rFonts w:ascii="Times New Roman" w:hAnsi="Times New Roman" w:cs="Times New Roman"/>
          <w:sz w:val="24"/>
          <w:szCs w:val="24"/>
          <w:lang w:val="en-GB"/>
        </w:rPr>
        <w:t xml:space="preserve">largely </w:t>
      </w:r>
      <w:r w:rsidR="00F14DB2" w:rsidRPr="00D9330B">
        <w:rPr>
          <w:rFonts w:ascii="Times New Roman" w:hAnsi="Times New Roman" w:cs="Times New Roman"/>
          <w:sz w:val="24"/>
          <w:szCs w:val="24"/>
          <w:lang w:val="en-GB"/>
        </w:rPr>
        <w:t>urban-based</w:t>
      </w:r>
      <w:r w:rsidR="003B0C5C" w:rsidRPr="00D9330B">
        <w:rPr>
          <w:rFonts w:ascii="Times New Roman" w:hAnsi="Times New Roman" w:cs="Times New Roman"/>
          <w:sz w:val="24"/>
          <w:szCs w:val="24"/>
          <w:lang w:val="en-GB"/>
        </w:rPr>
        <w:t xml:space="preserve"> lef</w:t>
      </w:r>
      <w:r w:rsidR="005F6420" w:rsidRPr="00D9330B">
        <w:rPr>
          <w:rFonts w:ascii="Times New Roman" w:hAnsi="Times New Roman" w:cs="Times New Roman"/>
          <w:sz w:val="24"/>
          <w:szCs w:val="24"/>
          <w:lang w:val="en-GB"/>
        </w:rPr>
        <w:t>t-of-centre parties</w:t>
      </w:r>
      <w:r>
        <w:rPr>
          <w:rFonts w:ascii="Times New Roman" w:hAnsi="Times New Roman" w:cs="Times New Roman"/>
          <w:sz w:val="24"/>
          <w:szCs w:val="24"/>
          <w:lang w:val="en-GB"/>
        </w:rPr>
        <w:t>,</w:t>
      </w:r>
      <w:r w:rsidR="005F6420" w:rsidRPr="00D9330B">
        <w:rPr>
          <w:rFonts w:ascii="Times New Roman" w:hAnsi="Times New Roman" w:cs="Times New Roman"/>
          <w:sz w:val="24"/>
          <w:szCs w:val="24"/>
          <w:lang w:val="en-GB"/>
        </w:rPr>
        <w:t xml:space="preserve"> is</w:t>
      </w:r>
      <w:r w:rsidR="00AE5DEF" w:rsidRPr="00D9330B">
        <w:rPr>
          <w:rFonts w:ascii="Times New Roman" w:hAnsi="Times New Roman" w:cs="Times New Roman"/>
          <w:sz w:val="24"/>
          <w:szCs w:val="24"/>
          <w:lang w:val="en-GB"/>
        </w:rPr>
        <w:t xml:space="preserve"> similar to</w:t>
      </w:r>
      <w:r w:rsidR="003B0C5C" w:rsidRPr="00D9330B">
        <w:rPr>
          <w:rFonts w:ascii="Times New Roman" w:hAnsi="Times New Roman" w:cs="Times New Roman"/>
          <w:sz w:val="24"/>
          <w:szCs w:val="24"/>
          <w:lang w:val="en-GB"/>
        </w:rPr>
        <w:t xml:space="preserve"> ones that had previously</w:t>
      </w:r>
      <w:r w:rsidR="00F37A11">
        <w:rPr>
          <w:rFonts w:ascii="Times New Roman" w:hAnsi="Times New Roman" w:cs="Times New Roman"/>
          <w:sz w:val="24"/>
          <w:szCs w:val="24"/>
          <w:lang w:val="en-GB"/>
        </w:rPr>
        <w:t xml:space="preserve"> helped to drive</w:t>
      </w:r>
      <w:r>
        <w:rPr>
          <w:rFonts w:ascii="Times New Roman" w:hAnsi="Times New Roman" w:cs="Times New Roman"/>
          <w:sz w:val="24"/>
          <w:szCs w:val="24"/>
          <w:lang w:val="en-GB"/>
        </w:rPr>
        <w:t xml:space="preserve"> public sector growth</w:t>
      </w:r>
      <w:r w:rsidR="00F4680B" w:rsidRPr="00D9330B">
        <w:rPr>
          <w:rFonts w:ascii="Times New Roman" w:hAnsi="Times New Roman" w:cs="Times New Roman"/>
          <w:sz w:val="24"/>
          <w:szCs w:val="24"/>
          <w:lang w:val="en-GB"/>
        </w:rPr>
        <w:t xml:space="preserve"> in the Southern Cone</w:t>
      </w:r>
      <w:r w:rsidR="00A33BC4" w:rsidRPr="00D9330B">
        <w:rPr>
          <w:rFonts w:ascii="Times New Roman" w:hAnsi="Times New Roman" w:cs="Times New Roman"/>
          <w:sz w:val="24"/>
          <w:szCs w:val="24"/>
          <w:lang w:val="en-GB"/>
        </w:rPr>
        <w:t>, and the ideological setting</w:t>
      </w:r>
      <w:r w:rsidR="00481792" w:rsidRPr="00D9330B">
        <w:rPr>
          <w:rFonts w:ascii="Times New Roman" w:hAnsi="Times New Roman" w:cs="Times New Roman"/>
          <w:sz w:val="24"/>
          <w:szCs w:val="24"/>
          <w:lang w:val="en-GB"/>
        </w:rPr>
        <w:t xml:space="preserve"> of relative confidence in the state’</w:t>
      </w:r>
      <w:r w:rsidR="00A33BC4" w:rsidRPr="00D9330B">
        <w:rPr>
          <w:rFonts w:ascii="Times New Roman" w:hAnsi="Times New Roman" w:cs="Times New Roman"/>
          <w:sz w:val="24"/>
          <w:szCs w:val="24"/>
          <w:lang w:val="en-GB"/>
        </w:rPr>
        <w:t>s ability to spur</w:t>
      </w:r>
      <w:r w:rsidR="00481792" w:rsidRPr="00D9330B">
        <w:rPr>
          <w:rFonts w:ascii="Times New Roman" w:hAnsi="Times New Roman" w:cs="Times New Roman"/>
          <w:sz w:val="24"/>
          <w:szCs w:val="24"/>
          <w:lang w:val="en-GB"/>
        </w:rPr>
        <w:t xml:space="preserve"> development is also similar</w:t>
      </w:r>
      <w:r w:rsidR="00AE5DEF" w:rsidRPr="00D9330B">
        <w:rPr>
          <w:rFonts w:ascii="Times New Roman" w:hAnsi="Times New Roman" w:cs="Times New Roman"/>
          <w:sz w:val="24"/>
          <w:szCs w:val="24"/>
          <w:lang w:val="en-GB"/>
        </w:rPr>
        <w:t>.</w:t>
      </w:r>
      <w:r w:rsidR="005F6420" w:rsidRPr="00D9330B">
        <w:rPr>
          <w:rFonts w:ascii="Times New Roman" w:hAnsi="Times New Roman" w:cs="Times New Roman"/>
          <w:sz w:val="24"/>
          <w:szCs w:val="24"/>
          <w:lang w:val="en-GB"/>
        </w:rPr>
        <w:t xml:space="preserve"> What is different</w:t>
      </w:r>
      <w:r w:rsidR="00310E49" w:rsidRPr="00D9330B">
        <w:rPr>
          <w:rFonts w:ascii="Times New Roman" w:hAnsi="Times New Roman" w:cs="Times New Roman"/>
          <w:sz w:val="24"/>
          <w:szCs w:val="24"/>
          <w:lang w:val="en-GB"/>
        </w:rPr>
        <w:t xml:space="preserve"> in the Brazilian case</w:t>
      </w:r>
      <w:r w:rsidR="005F6420" w:rsidRPr="00D9330B">
        <w:rPr>
          <w:rFonts w:ascii="Times New Roman" w:hAnsi="Times New Roman" w:cs="Times New Roman"/>
          <w:sz w:val="24"/>
          <w:szCs w:val="24"/>
          <w:lang w:val="en-GB"/>
        </w:rPr>
        <w:t xml:space="preserve"> is that the efforts of this co</w:t>
      </w:r>
      <w:r w:rsidR="00310E49" w:rsidRPr="00D9330B">
        <w:rPr>
          <w:rFonts w:ascii="Times New Roman" w:hAnsi="Times New Roman" w:cs="Times New Roman"/>
          <w:sz w:val="24"/>
          <w:szCs w:val="24"/>
          <w:lang w:val="en-GB"/>
        </w:rPr>
        <w:t>alition have not faced an authoritarian ba</w:t>
      </w:r>
      <w:r w:rsidR="006E3A25" w:rsidRPr="00D9330B">
        <w:rPr>
          <w:rFonts w:ascii="Times New Roman" w:hAnsi="Times New Roman" w:cs="Times New Roman"/>
          <w:sz w:val="24"/>
          <w:szCs w:val="24"/>
          <w:lang w:val="en-GB"/>
        </w:rPr>
        <w:t>cklash</w:t>
      </w:r>
      <w:r w:rsidR="00310E49" w:rsidRPr="00D9330B">
        <w:rPr>
          <w:rFonts w:ascii="Times New Roman" w:hAnsi="Times New Roman" w:cs="Times New Roman"/>
          <w:sz w:val="24"/>
          <w:szCs w:val="24"/>
          <w:lang w:val="en-GB"/>
        </w:rPr>
        <w:t>. The reason lies in the broader political</w:t>
      </w:r>
      <w:r w:rsidR="00AE5DEF" w:rsidRPr="00D9330B">
        <w:rPr>
          <w:rFonts w:ascii="Times New Roman" w:hAnsi="Times New Roman" w:cs="Times New Roman"/>
          <w:sz w:val="24"/>
          <w:szCs w:val="24"/>
          <w:lang w:val="en-GB"/>
        </w:rPr>
        <w:t xml:space="preserve"> context, and especially the change that has occurred in the</w:t>
      </w:r>
      <w:r w:rsidR="00310E49" w:rsidRPr="00D9330B">
        <w:rPr>
          <w:rFonts w:ascii="Times New Roman" w:hAnsi="Times New Roman" w:cs="Times New Roman"/>
          <w:sz w:val="24"/>
          <w:szCs w:val="24"/>
          <w:lang w:val="en-GB"/>
        </w:rPr>
        <w:t xml:space="preserve"> strength of</w:t>
      </w:r>
      <w:r w:rsidR="006E3A25" w:rsidRPr="00D9330B">
        <w:rPr>
          <w:rFonts w:ascii="Times New Roman" w:hAnsi="Times New Roman" w:cs="Times New Roman"/>
          <w:sz w:val="24"/>
          <w:szCs w:val="24"/>
          <w:lang w:val="en-GB"/>
        </w:rPr>
        <w:t xml:space="preserve"> pro</w:t>
      </w:r>
      <w:r w:rsidR="00104EF4" w:rsidRPr="00D9330B">
        <w:rPr>
          <w:rFonts w:ascii="Times New Roman" w:hAnsi="Times New Roman" w:cs="Times New Roman"/>
          <w:sz w:val="24"/>
          <w:szCs w:val="24"/>
          <w:lang w:val="en-GB"/>
        </w:rPr>
        <w:t>-democracy</w:t>
      </w:r>
      <w:r w:rsidR="00310E49" w:rsidRPr="00D9330B">
        <w:rPr>
          <w:rFonts w:ascii="Times New Roman" w:hAnsi="Times New Roman" w:cs="Times New Roman"/>
          <w:sz w:val="24"/>
          <w:szCs w:val="24"/>
          <w:lang w:val="en-GB"/>
        </w:rPr>
        <w:t xml:space="preserve"> norms. </w:t>
      </w:r>
    </w:p>
    <w:p w:rsidR="000B4442" w:rsidRPr="00D9330B" w:rsidRDefault="00310E49" w:rsidP="000B4442">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t>As Mainwaring and Pérez-</w:t>
      </w:r>
      <w:proofErr w:type="spellStart"/>
      <w:r w:rsidRPr="00D9330B">
        <w:rPr>
          <w:rFonts w:ascii="Times New Roman" w:hAnsi="Times New Roman" w:cs="Times New Roman"/>
          <w:sz w:val="24"/>
          <w:szCs w:val="24"/>
          <w:lang w:val="en-GB"/>
        </w:rPr>
        <w:t>Liñan</w:t>
      </w:r>
      <w:proofErr w:type="spellEnd"/>
      <w:r w:rsidRPr="00D9330B">
        <w:rPr>
          <w:rFonts w:ascii="Times New Roman" w:hAnsi="Times New Roman" w:cs="Times New Roman"/>
          <w:sz w:val="24"/>
          <w:szCs w:val="24"/>
          <w:lang w:val="en-GB"/>
        </w:rPr>
        <w:t xml:space="preserve"> have</w:t>
      </w:r>
      <w:r w:rsidR="006942CC" w:rsidRPr="00D9330B">
        <w:rPr>
          <w:rFonts w:ascii="Times New Roman" w:hAnsi="Times New Roman" w:cs="Times New Roman"/>
          <w:sz w:val="24"/>
          <w:szCs w:val="24"/>
          <w:lang w:val="en-GB"/>
        </w:rPr>
        <w:t xml:space="preserve"> documented</w:t>
      </w:r>
      <w:r w:rsidR="00AE5DEF" w:rsidRPr="00D9330B">
        <w:rPr>
          <w:rFonts w:ascii="Times New Roman" w:hAnsi="Times New Roman" w:cs="Times New Roman"/>
          <w:sz w:val="24"/>
          <w:szCs w:val="24"/>
          <w:lang w:val="en-GB"/>
        </w:rPr>
        <w:t>, normative commitment to democracy among political elites in Latin America increased markedly beginning in the late 1970s, as did the willingness of powerful foreign actors, especially the US government, to support</w:t>
      </w:r>
      <w:r w:rsidR="00104F81" w:rsidRPr="00D9330B">
        <w:rPr>
          <w:rFonts w:ascii="Times New Roman" w:hAnsi="Times New Roman" w:cs="Times New Roman"/>
          <w:sz w:val="24"/>
          <w:szCs w:val="24"/>
          <w:lang w:val="en-GB"/>
        </w:rPr>
        <w:t xml:space="preserve"> or at least countenance</w:t>
      </w:r>
      <w:r w:rsidR="00AE5DEF" w:rsidRPr="00D9330B">
        <w:rPr>
          <w:rFonts w:ascii="Times New Roman" w:hAnsi="Times New Roman" w:cs="Times New Roman"/>
          <w:sz w:val="24"/>
          <w:szCs w:val="24"/>
          <w:lang w:val="en-GB"/>
        </w:rPr>
        <w:t xml:space="preserve"> democracy.</w:t>
      </w:r>
      <w:r w:rsidR="00446BC2" w:rsidRPr="00D9330B">
        <w:rPr>
          <w:rFonts w:ascii="Times New Roman" w:hAnsi="Times New Roman" w:cs="Times New Roman"/>
          <w:sz w:val="24"/>
          <w:szCs w:val="24"/>
          <w:lang w:val="en-GB"/>
        </w:rPr>
        <w:t xml:space="preserve"> These changes reflected growing repugnance for the</w:t>
      </w:r>
      <w:r w:rsidR="000B4442" w:rsidRPr="00D9330B">
        <w:rPr>
          <w:rFonts w:ascii="Times New Roman" w:hAnsi="Times New Roman" w:cs="Times New Roman"/>
          <w:sz w:val="24"/>
          <w:szCs w:val="24"/>
          <w:lang w:val="en-GB"/>
        </w:rPr>
        <w:t xml:space="preserve"> repressi</w:t>
      </w:r>
      <w:r w:rsidR="00446BC2" w:rsidRPr="00D9330B">
        <w:rPr>
          <w:rFonts w:ascii="Times New Roman" w:hAnsi="Times New Roman" w:cs="Times New Roman"/>
          <w:sz w:val="24"/>
          <w:szCs w:val="24"/>
          <w:lang w:val="en-GB"/>
        </w:rPr>
        <w:t>on and state-sponsored violence that had occurred under authoritarian rule, as well as</w:t>
      </w:r>
      <w:r w:rsidR="00236C1A" w:rsidRPr="00D9330B">
        <w:rPr>
          <w:rFonts w:ascii="Times New Roman" w:hAnsi="Times New Roman" w:cs="Times New Roman"/>
          <w:sz w:val="24"/>
          <w:szCs w:val="24"/>
          <w:lang w:val="en-GB"/>
        </w:rPr>
        <w:t xml:space="preserve"> the decline and ultimate collapse of the Soviet Union</w:t>
      </w:r>
      <w:r w:rsidR="008E384A" w:rsidRPr="00D9330B">
        <w:rPr>
          <w:rFonts w:ascii="Times New Roman" w:hAnsi="Times New Roman" w:cs="Times New Roman"/>
          <w:sz w:val="24"/>
          <w:szCs w:val="24"/>
          <w:lang w:val="en-GB"/>
        </w:rPr>
        <w:t>, which lowered the perceived costs of tolerating leftist political influence</w:t>
      </w:r>
      <w:r w:rsidR="000B4442" w:rsidRPr="00D9330B">
        <w:rPr>
          <w:rFonts w:ascii="Times New Roman" w:hAnsi="Times New Roman" w:cs="Times New Roman"/>
          <w:sz w:val="24"/>
          <w:szCs w:val="24"/>
          <w:lang w:val="en-GB"/>
        </w:rPr>
        <w:t>.</w:t>
      </w:r>
      <w:r w:rsidR="008834BF" w:rsidRPr="00D9330B">
        <w:rPr>
          <w:rFonts w:ascii="Times New Roman" w:hAnsi="Times New Roman" w:cs="Times New Roman"/>
          <w:sz w:val="24"/>
          <w:szCs w:val="24"/>
          <w:lang w:val="en-GB"/>
        </w:rPr>
        <w:t xml:space="preserve"> </w:t>
      </w:r>
      <w:r w:rsidR="00BE167C" w:rsidRPr="00D9330B">
        <w:rPr>
          <w:rFonts w:ascii="Times New Roman" w:hAnsi="Times New Roman" w:cs="Times New Roman"/>
          <w:sz w:val="24"/>
          <w:szCs w:val="24"/>
          <w:lang w:val="en-GB"/>
        </w:rPr>
        <w:t xml:space="preserve">Foreign and domestic transformations interacted to give Latin American democracies greater resilience. In </w:t>
      </w:r>
      <w:r w:rsidR="008E384A" w:rsidRPr="00D9330B">
        <w:rPr>
          <w:rFonts w:ascii="Times New Roman" w:hAnsi="Times New Roman" w:cs="Times New Roman"/>
          <w:sz w:val="24"/>
          <w:szCs w:val="24"/>
          <w:lang w:val="en-GB"/>
        </w:rPr>
        <w:t>the past</w:t>
      </w:r>
      <w:r w:rsidR="00104EF4" w:rsidRPr="00D9330B">
        <w:rPr>
          <w:rFonts w:ascii="Times New Roman" w:hAnsi="Times New Roman" w:cs="Times New Roman"/>
          <w:sz w:val="24"/>
          <w:szCs w:val="24"/>
          <w:lang w:val="en-GB"/>
        </w:rPr>
        <w:t>,</w:t>
      </w:r>
      <w:r w:rsidR="008E384A" w:rsidRPr="00D9330B">
        <w:rPr>
          <w:rFonts w:ascii="Times New Roman" w:hAnsi="Times New Roman" w:cs="Times New Roman"/>
          <w:sz w:val="24"/>
          <w:szCs w:val="24"/>
          <w:lang w:val="en-GB"/>
        </w:rPr>
        <w:t xml:space="preserve"> political leaders might have readily seized upon an econom</w:t>
      </w:r>
      <w:r w:rsidR="00104EF4" w:rsidRPr="00D9330B">
        <w:rPr>
          <w:rFonts w:ascii="Times New Roman" w:hAnsi="Times New Roman" w:cs="Times New Roman"/>
          <w:sz w:val="24"/>
          <w:szCs w:val="24"/>
          <w:lang w:val="en-GB"/>
        </w:rPr>
        <w:t xml:space="preserve">ic crisis or episode of </w:t>
      </w:r>
      <w:r w:rsidR="008E384A" w:rsidRPr="00D9330B">
        <w:rPr>
          <w:rFonts w:ascii="Times New Roman" w:hAnsi="Times New Roman" w:cs="Times New Roman"/>
          <w:sz w:val="24"/>
          <w:szCs w:val="24"/>
          <w:lang w:val="en-GB"/>
        </w:rPr>
        <w:t>political conflict to suspend democracy and impose their own</w:t>
      </w:r>
      <w:r w:rsidR="00180F75" w:rsidRPr="00D9330B">
        <w:rPr>
          <w:rFonts w:ascii="Times New Roman" w:hAnsi="Times New Roman" w:cs="Times New Roman"/>
          <w:sz w:val="24"/>
          <w:szCs w:val="24"/>
          <w:lang w:val="en-GB"/>
        </w:rPr>
        <w:t xml:space="preserve"> policy</w:t>
      </w:r>
      <w:r w:rsidR="008E384A" w:rsidRPr="00D9330B">
        <w:rPr>
          <w:rFonts w:ascii="Times New Roman" w:hAnsi="Times New Roman" w:cs="Times New Roman"/>
          <w:sz w:val="24"/>
          <w:szCs w:val="24"/>
          <w:lang w:val="en-GB"/>
        </w:rPr>
        <w:t xml:space="preserve"> preferences, </w:t>
      </w:r>
      <w:r w:rsidR="00BE167C" w:rsidRPr="00D9330B">
        <w:rPr>
          <w:rFonts w:ascii="Times New Roman" w:hAnsi="Times New Roman" w:cs="Times New Roman"/>
          <w:sz w:val="24"/>
          <w:szCs w:val="24"/>
          <w:lang w:val="en-GB"/>
        </w:rPr>
        <w:t xml:space="preserve">but </w:t>
      </w:r>
      <w:r w:rsidR="008E384A" w:rsidRPr="00D9330B">
        <w:rPr>
          <w:rFonts w:ascii="Times New Roman" w:hAnsi="Times New Roman" w:cs="Times New Roman"/>
          <w:sz w:val="24"/>
          <w:szCs w:val="24"/>
          <w:lang w:val="en-GB"/>
        </w:rPr>
        <w:t>the growing value attached to democratic politics</w:t>
      </w:r>
      <w:r w:rsidR="00180F75" w:rsidRPr="00D9330B">
        <w:rPr>
          <w:rFonts w:ascii="Times New Roman" w:hAnsi="Times New Roman" w:cs="Times New Roman"/>
          <w:sz w:val="24"/>
          <w:szCs w:val="24"/>
          <w:lang w:val="en-GB"/>
        </w:rPr>
        <w:t xml:space="preserve"> per se</w:t>
      </w:r>
      <w:r w:rsidR="008E384A" w:rsidRPr="00D9330B">
        <w:rPr>
          <w:rFonts w:ascii="Times New Roman" w:hAnsi="Times New Roman" w:cs="Times New Roman"/>
          <w:sz w:val="24"/>
          <w:szCs w:val="24"/>
          <w:lang w:val="en-GB"/>
        </w:rPr>
        <w:t xml:space="preserve"> </w:t>
      </w:r>
      <w:r w:rsidR="00BE167C" w:rsidRPr="00D9330B">
        <w:rPr>
          <w:rFonts w:ascii="Times New Roman" w:hAnsi="Times New Roman" w:cs="Times New Roman"/>
          <w:sz w:val="24"/>
          <w:szCs w:val="24"/>
          <w:lang w:val="en-GB"/>
        </w:rPr>
        <w:t>served to ‘inoculate competitive regimes from breakdown’.</w:t>
      </w:r>
      <w:r w:rsidR="00BE167C" w:rsidRPr="00D9330B">
        <w:rPr>
          <w:rStyle w:val="FootnoteReference"/>
          <w:rFonts w:ascii="Times New Roman" w:hAnsi="Times New Roman" w:cs="Times New Roman"/>
          <w:sz w:val="24"/>
          <w:szCs w:val="24"/>
          <w:lang w:val="en-GB"/>
        </w:rPr>
        <w:footnoteReference w:id="106"/>
      </w:r>
      <w:r w:rsidR="0074546E" w:rsidRPr="00D9330B">
        <w:rPr>
          <w:rFonts w:ascii="Times New Roman" w:hAnsi="Times New Roman" w:cs="Times New Roman"/>
          <w:sz w:val="24"/>
          <w:szCs w:val="24"/>
          <w:lang w:val="en-GB"/>
        </w:rPr>
        <w:t xml:space="preserve"> In other words, democracy has been transformed into something approaching ‘the only game in town’.</w:t>
      </w:r>
      <w:r w:rsidR="0074546E" w:rsidRPr="00D9330B">
        <w:rPr>
          <w:rStyle w:val="FootnoteReference"/>
          <w:rFonts w:ascii="Times New Roman" w:hAnsi="Times New Roman" w:cs="Times New Roman"/>
          <w:sz w:val="24"/>
          <w:szCs w:val="24"/>
          <w:lang w:val="en-GB"/>
        </w:rPr>
        <w:footnoteReference w:id="107"/>
      </w:r>
    </w:p>
    <w:p w:rsidR="001918C6" w:rsidRPr="00D9330B" w:rsidRDefault="00180F75" w:rsidP="00CD587A">
      <w:pPr>
        <w:spacing w:after="0" w:line="480" w:lineRule="auto"/>
        <w:ind w:firstLine="720"/>
        <w:rPr>
          <w:rFonts w:ascii="Times New Roman" w:hAnsi="Times New Roman" w:cs="Times New Roman"/>
          <w:sz w:val="24"/>
          <w:szCs w:val="24"/>
          <w:lang w:val="en-GB"/>
        </w:rPr>
      </w:pPr>
      <w:r w:rsidRPr="00D9330B">
        <w:rPr>
          <w:rFonts w:ascii="Times New Roman" w:hAnsi="Times New Roman" w:cs="Times New Roman"/>
          <w:sz w:val="24"/>
          <w:szCs w:val="24"/>
          <w:lang w:val="en-GB"/>
        </w:rPr>
        <w:lastRenderedPageBreak/>
        <w:t xml:space="preserve">A number of situations have arisen in Brazil during the last three decades that would plausibly have invited military intervention had they occurred earlier in the country’s history, including </w:t>
      </w:r>
      <w:r w:rsidR="002C3D28" w:rsidRPr="00D9330B">
        <w:rPr>
          <w:rFonts w:ascii="Times New Roman" w:hAnsi="Times New Roman" w:cs="Times New Roman"/>
          <w:sz w:val="24"/>
          <w:szCs w:val="24"/>
          <w:lang w:val="en-GB"/>
        </w:rPr>
        <w:t xml:space="preserve">the constituent assembly’s </w:t>
      </w:r>
      <w:r w:rsidR="00424E58" w:rsidRPr="00D9330B">
        <w:rPr>
          <w:rFonts w:ascii="Times New Roman" w:hAnsi="Times New Roman" w:cs="Times New Roman"/>
          <w:sz w:val="24"/>
          <w:szCs w:val="24"/>
          <w:lang w:val="en-GB"/>
        </w:rPr>
        <w:t>approval of a markedly left-leaning</w:t>
      </w:r>
      <w:r w:rsidR="002C3D28" w:rsidRPr="00D9330B">
        <w:rPr>
          <w:rFonts w:ascii="Times New Roman" w:hAnsi="Times New Roman" w:cs="Times New Roman"/>
          <w:sz w:val="24"/>
          <w:szCs w:val="24"/>
          <w:lang w:val="en-GB"/>
        </w:rPr>
        <w:t xml:space="preserve"> first draft of the new constitution in 1987, </w:t>
      </w:r>
      <w:r w:rsidRPr="00D9330B">
        <w:rPr>
          <w:rFonts w:ascii="Times New Roman" w:hAnsi="Times New Roman" w:cs="Times New Roman"/>
          <w:sz w:val="24"/>
          <w:szCs w:val="24"/>
          <w:lang w:val="en-GB"/>
        </w:rPr>
        <w:t>Lula’</w:t>
      </w:r>
      <w:r w:rsidR="002C3D28" w:rsidRPr="00D9330B">
        <w:rPr>
          <w:rFonts w:ascii="Times New Roman" w:hAnsi="Times New Roman" w:cs="Times New Roman"/>
          <w:sz w:val="24"/>
          <w:szCs w:val="24"/>
          <w:lang w:val="en-GB"/>
        </w:rPr>
        <w:t xml:space="preserve">s near-victory in the presidential election of </w:t>
      </w:r>
      <w:r w:rsidRPr="00D9330B">
        <w:rPr>
          <w:rFonts w:ascii="Times New Roman" w:hAnsi="Times New Roman" w:cs="Times New Roman"/>
          <w:sz w:val="24"/>
          <w:szCs w:val="24"/>
          <w:lang w:val="en-GB"/>
        </w:rPr>
        <w:t>1989</w:t>
      </w:r>
      <w:r w:rsidR="002C3D28" w:rsidRPr="00D9330B">
        <w:rPr>
          <w:rFonts w:ascii="Times New Roman" w:hAnsi="Times New Roman" w:cs="Times New Roman"/>
          <w:sz w:val="24"/>
          <w:szCs w:val="24"/>
          <w:lang w:val="en-GB"/>
        </w:rPr>
        <w:t>,</w:t>
      </w:r>
      <w:r w:rsidRPr="00D9330B">
        <w:rPr>
          <w:rFonts w:ascii="Times New Roman" w:hAnsi="Times New Roman" w:cs="Times New Roman"/>
          <w:sz w:val="24"/>
          <w:szCs w:val="24"/>
          <w:lang w:val="en-GB"/>
        </w:rPr>
        <w:t xml:space="preserve"> and his</w:t>
      </w:r>
      <w:r w:rsidR="002C3D28" w:rsidRPr="00D9330B">
        <w:rPr>
          <w:rFonts w:ascii="Times New Roman" w:hAnsi="Times New Roman" w:cs="Times New Roman"/>
          <w:sz w:val="24"/>
          <w:szCs w:val="24"/>
          <w:lang w:val="en-GB"/>
        </w:rPr>
        <w:t xml:space="preserve"> actual victory in 2002. Each of these episodes sewed panic among</w:t>
      </w:r>
      <w:r w:rsidR="00424E58" w:rsidRPr="00D9330B">
        <w:rPr>
          <w:rFonts w:ascii="Times New Roman" w:hAnsi="Times New Roman" w:cs="Times New Roman"/>
          <w:sz w:val="24"/>
          <w:szCs w:val="24"/>
          <w:lang w:val="en-GB"/>
        </w:rPr>
        <w:t xml:space="preserve"> business leaders and their</w:t>
      </w:r>
      <w:r w:rsidR="00D70AA6" w:rsidRPr="00D9330B">
        <w:rPr>
          <w:rFonts w:ascii="Times New Roman" w:hAnsi="Times New Roman" w:cs="Times New Roman"/>
          <w:sz w:val="24"/>
          <w:szCs w:val="24"/>
          <w:lang w:val="en-GB"/>
        </w:rPr>
        <w:t xml:space="preserve"> conservative </w:t>
      </w:r>
      <w:r w:rsidR="00424E58" w:rsidRPr="00D9330B">
        <w:rPr>
          <w:rFonts w:ascii="Times New Roman" w:hAnsi="Times New Roman" w:cs="Times New Roman"/>
          <w:sz w:val="24"/>
          <w:szCs w:val="24"/>
          <w:lang w:val="en-GB"/>
        </w:rPr>
        <w:t>political allies</w:t>
      </w:r>
      <w:r w:rsidR="00D70AA6" w:rsidRPr="00D9330B">
        <w:rPr>
          <w:rFonts w:ascii="Times New Roman" w:hAnsi="Times New Roman" w:cs="Times New Roman"/>
          <w:sz w:val="24"/>
          <w:szCs w:val="24"/>
          <w:lang w:val="en-GB"/>
        </w:rPr>
        <w:t xml:space="preserve"> because of the perceived threat of redistributive, anti-business change</w:t>
      </w:r>
      <w:r w:rsidR="00424E58" w:rsidRPr="00D9330B">
        <w:rPr>
          <w:rFonts w:ascii="Times New Roman" w:hAnsi="Times New Roman" w:cs="Times New Roman"/>
          <w:sz w:val="24"/>
          <w:szCs w:val="24"/>
          <w:lang w:val="en-GB"/>
        </w:rPr>
        <w:t xml:space="preserve">. The fact that democracy was not suspended meant that the constitution preserved at least some of the leftist </w:t>
      </w:r>
      <w:r w:rsidR="00813D7E" w:rsidRPr="00D9330B">
        <w:rPr>
          <w:rFonts w:ascii="Times New Roman" w:hAnsi="Times New Roman" w:cs="Times New Roman"/>
          <w:sz w:val="24"/>
          <w:szCs w:val="24"/>
          <w:lang w:val="en-GB"/>
        </w:rPr>
        <w:t>(</w:t>
      </w:r>
      <w:r w:rsidR="006C6C73" w:rsidRPr="00D9330B">
        <w:rPr>
          <w:rFonts w:ascii="Times New Roman" w:hAnsi="Times New Roman" w:cs="Times New Roman"/>
          <w:sz w:val="24"/>
          <w:szCs w:val="24"/>
          <w:lang w:val="en-GB"/>
        </w:rPr>
        <w:t>and</w:t>
      </w:r>
      <w:r w:rsidR="00424E58" w:rsidRPr="00D9330B">
        <w:rPr>
          <w:rFonts w:ascii="Times New Roman" w:hAnsi="Times New Roman" w:cs="Times New Roman"/>
          <w:sz w:val="24"/>
          <w:szCs w:val="24"/>
          <w:lang w:val="en-GB"/>
        </w:rPr>
        <w:t xml:space="preserve"> pro-social spending</w:t>
      </w:r>
      <w:r w:rsidR="00813D7E" w:rsidRPr="00D9330B">
        <w:rPr>
          <w:rFonts w:ascii="Times New Roman" w:hAnsi="Times New Roman" w:cs="Times New Roman"/>
          <w:sz w:val="24"/>
          <w:szCs w:val="24"/>
          <w:lang w:val="en-GB"/>
        </w:rPr>
        <w:t>)</w:t>
      </w:r>
      <w:r w:rsidR="00424E58" w:rsidRPr="00D9330B">
        <w:rPr>
          <w:rFonts w:ascii="Times New Roman" w:hAnsi="Times New Roman" w:cs="Times New Roman"/>
          <w:sz w:val="24"/>
          <w:szCs w:val="24"/>
          <w:lang w:val="en-GB"/>
        </w:rPr>
        <w:t xml:space="preserve"> features of the initial draft, that the PT</w:t>
      </w:r>
      <w:r w:rsidR="00285387" w:rsidRPr="00D9330B">
        <w:rPr>
          <w:rFonts w:ascii="Times New Roman" w:hAnsi="Times New Roman" w:cs="Times New Roman"/>
          <w:sz w:val="24"/>
          <w:szCs w:val="24"/>
          <w:lang w:val="en-GB"/>
        </w:rPr>
        <w:t xml:space="preserve"> was able to continue expand</w:t>
      </w:r>
      <w:r w:rsidR="00D70AA6" w:rsidRPr="00D9330B">
        <w:rPr>
          <w:rFonts w:ascii="Times New Roman" w:hAnsi="Times New Roman" w:cs="Times New Roman"/>
          <w:sz w:val="24"/>
          <w:szCs w:val="24"/>
          <w:lang w:val="en-GB"/>
        </w:rPr>
        <w:t>ing</w:t>
      </w:r>
      <w:r w:rsidR="00285387" w:rsidRPr="00D9330B">
        <w:rPr>
          <w:rFonts w:ascii="Times New Roman" w:hAnsi="Times New Roman" w:cs="Times New Roman"/>
          <w:sz w:val="24"/>
          <w:szCs w:val="24"/>
          <w:lang w:val="en-GB"/>
        </w:rPr>
        <w:t xml:space="preserve"> as an electoral force</w:t>
      </w:r>
      <w:r w:rsidR="00E416AD" w:rsidRPr="00D9330B">
        <w:rPr>
          <w:rFonts w:ascii="Times New Roman" w:hAnsi="Times New Roman" w:cs="Times New Roman"/>
          <w:sz w:val="24"/>
          <w:szCs w:val="24"/>
          <w:lang w:val="en-GB"/>
        </w:rPr>
        <w:t xml:space="preserve"> and exercise influence through the legislature</w:t>
      </w:r>
      <w:r w:rsidR="00424E58" w:rsidRPr="00D9330B">
        <w:rPr>
          <w:rFonts w:ascii="Times New Roman" w:hAnsi="Times New Roman" w:cs="Times New Roman"/>
          <w:sz w:val="24"/>
          <w:szCs w:val="24"/>
          <w:lang w:val="en-GB"/>
        </w:rPr>
        <w:t>, and that it was ultimately able to capture the preside</w:t>
      </w:r>
      <w:r w:rsidR="007C4D07" w:rsidRPr="00D9330B">
        <w:rPr>
          <w:rFonts w:ascii="Times New Roman" w:hAnsi="Times New Roman" w:cs="Times New Roman"/>
          <w:sz w:val="24"/>
          <w:szCs w:val="24"/>
          <w:lang w:val="en-GB"/>
        </w:rPr>
        <w:t>ncy and</w:t>
      </w:r>
      <w:r w:rsidR="00D70AA6" w:rsidRPr="00D9330B">
        <w:rPr>
          <w:rFonts w:ascii="Times New Roman" w:hAnsi="Times New Roman" w:cs="Times New Roman"/>
          <w:sz w:val="24"/>
          <w:szCs w:val="24"/>
          <w:lang w:val="en-GB"/>
        </w:rPr>
        <w:t xml:space="preserve"> </w:t>
      </w:r>
      <w:r w:rsidR="00444D11" w:rsidRPr="00D9330B">
        <w:rPr>
          <w:rFonts w:ascii="Times New Roman" w:hAnsi="Times New Roman" w:cs="Times New Roman"/>
          <w:sz w:val="24"/>
          <w:szCs w:val="24"/>
          <w:lang w:val="en-GB"/>
        </w:rPr>
        <w:t xml:space="preserve">use that position to </w:t>
      </w:r>
      <w:r w:rsidR="00285387" w:rsidRPr="00D9330B">
        <w:rPr>
          <w:rFonts w:ascii="Times New Roman" w:hAnsi="Times New Roman" w:cs="Times New Roman"/>
          <w:sz w:val="24"/>
          <w:szCs w:val="24"/>
          <w:lang w:val="en-GB"/>
        </w:rPr>
        <w:t>further increase revenues and spending</w:t>
      </w:r>
      <w:r w:rsidR="00424E58" w:rsidRPr="00D9330B">
        <w:rPr>
          <w:rFonts w:ascii="Times New Roman" w:hAnsi="Times New Roman" w:cs="Times New Roman"/>
          <w:sz w:val="24"/>
          <w:szCs w:val="24"/>
          <w:lang w:val="en-GB"/>
        </w:rPr>
        <w:t>.</w:t>
      </w:r>
      <w:r w:rsidR="00444D11" w:rsidRPr="00D9330B">
        <w:rPr>
          <w:rFonts w:ascii="Times New Roman" w:hAnsi="Times New Roman" w:cs="Times New Roman"/>
          <w:sz w:val="24"/>
          <w:szCs w:val="24"/>
          <w:lang w:val="en-GB"/>
        </w:rPr>
        <w:t xml:space="preserve"> In other words, the breakdown of</w:t>
      </w:r>
      <w:r w:rsidR="00813D7E" w:rsidRPr="00D9330B">
        <w:rPr>
          <w:rFonts w:ascii="Times New Roman" w:hAnsi="Times New Roman" w:cs="Times New Roman"/>
          <w:sz w:val="24"/>
          <w:szCs w:val="24"/>
          <w:lang w:val="en-GB"/>
        </w:rPr>
        <w:t xml:space="preserve"> democracy in any of these</w:t>
      </w:r>
      <w:r w:rsidR="006C6C73" w:rsidRPr="00D9330B">
        <w:rPr>
          <w:rFonts w:ascii="Times New Roman" w:hAnsi="Times New Roman" w:cs="Times New Roman"/>
          <w:sz w:val="24"/>
          <w:szCs w:val="24"/>
          <w:lang w:val="en-GB"/>
        </w:rPr>
        <w:t xml:space="preserve"> instances would probably</w:t>
      </w:r>
      <w:r w:rsidR="00444D11" w:rsidRPr="00D9330B">
        <w:rPr>
          <w:rFonts w:ascii="Times New Roman" w:hAnsi="Times New Roman" w:cs="Times New Roman"/>
          <w:sz w:val="24"/>
          <w:szCs w:val="24"/>
          <w:lang w:val="en-GB"/>
        </w:rPr>
        <w:t xml:space="preserve"> have meant a lower tax burden today.</w:t>
      </w:r>
    </w:p>
    <w:p w:rsidR="008B7C9A" w:rsidRPr="00417E34" w:rsidRDefault="008B7C9A" w:rsidP="002F433C">
      <w:pPr>
        <w:spacing w:after="0" w:line="480" w:lineRule="auto"/>
        <w:jc w:val="center"/>
        <w:rPr>
          <w:rFonts w:ascii="Times New Roman" w:hAnsi="Times New Roman" w:cs="Times New Roman"/>
          <w:sz w:val="24"/>
          <w:szCs w:val="24"/>
          <w:lang w:val="en-GB"/>
        </w:rPr>
      </w:pPr>
    </w:p>
    <w:p w:rsidR="002F433C" w:rsidRPr="00D9330B" w:rsidRDefault="002F433C" w:rsidP="002F433C">
      <w:pPr>
        <w:spacing w:after="0" w:line="480" w:lineRule="auto"/>
        <w:jc w:val="center"/>
        <w:rPr>
          <w:rFonts w:ascii="Times New Roman" w:hAnsi="Times New Roman" w:cs="Times New Roman"/>
          <w:sz w:val="24"/>
          <w:szCs w:val="24"/>
          <w:lang w:val="en-GB"/>
        </w:rPr>
      </w:pPr>
      <w:r w:rsidRPr="00D9330B">
        <w:rPr>
          <w:rFonts w:ascii="Times New Roman" w:hAnsi="Times New Roman" w:cs="Times New Roman"/>
          <w:i/>
          <w:sz w:val="24"/>
          <w:szCs w:val="24"/>
          <w:lang w:val="en-GB"/>
        </w:rPr>
        <w:t>Conclusions</w:t>
      </w:r>
    </w:p>
    <w:p w:rsidR="007D4B81" w:rsidRDefault="003072B8" w:rsidP="001C1434">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r>
      <w:r w:rsidR="009730F3">
        <w:rPr>
          <w:rFonts w:ascii="Times New Roman" w:hAnsi="Times New Roman" w:cs="Times New Roman"/>
          <w:sz w:val="24"/>
          <w:szCs w:val="24"/>
          <w:lang w:val="en-GB"/>
        </w:rPr>
        <w:t>Brazil’s unusually heavy tax burden</w:t>
      </w:r>
      <w:r w:rsidR="00A8799C">
        <w:rPr>
          <w:rFonts w:ascii="Times New Roman" w:hAnsi="Times New Roman" w:cs="Times New Roman"/>
          <w:sz w:val="24"/>
          <w:szCs w:val="24"/>
          <w:lang w:val="en-GB"/>
        </w:rPr>
        <w:t xml:space="preserve"> relative to the rest of Latin America</w:t>
      </w:r>
      <w:r w:rsidR="00D024D5">
        <w:rPr>
          <w:rFonts w:ascii="Times New Roman" w:hAnsi="Times New Roman" w:cs="Times New Roman"/>
          <w:sz w:val="24"/>
          <w:szCs w:val="24"/>
          <w:lang w:val="en-GB"/>
        </w:rPr>
        <w:t xml:space="preserve"> constitutes a striking anomaly that has often</w:t>
      </w:r>
      <w:r w:rsidR="009D3BED">
        <w:rPr>
          <w:rFonts w:ascii="Times New Roman" w:hAnsi="Times New Roman" w:cs="Times New Roman"/>
          <w:sz w:val="24"/>
          <w:szCs w:val="24"/>
          <w:lang w:val="en-GB"/>
        </w:rPr>
        <w:t xml:space="preserve"> been</w:t>
      </w:r>
      <w:r w:rsidR="00A25232">
        <w:rPr>
          <w:rFonts w:ascii="Times New Roman" w:hAnsi="Times New Roman" w:cs="Times New Roman"/>
          <w:sz w:val="24"/>
          <w:szCs w:val="24"/>
          <w:lang w:val="en-GB"/>
        </w:rPr>
        <w:t xml:space="preserve"> noted but almost</w:t>
      </w:r>
      <w:r w:rsidR="00D024D5">
        <w:rPr>
          <w:rFonts w:ascii="Times New Roman" w:hAnsi="Times New Roman" w:cs="Times New Roman"/>
          <w:sz w:val="24"/>
          <w:szCs w:val="24"/>
          <w:lang w:val="en-GB"/>
        </w:rPr>
        <w:t xml:space="preserve"> never systematically explained</w:t>
      </w:r>
      <w:r w:rsidR="007D4B81">
        <w:rPr>
          <w:rFonts w:ascii="Times New Roman" w:hAnsi="Times New Roman" w:cs="Times New Roman"/>
          <w:sz w:val="24"/>
          <w:szCs w:val="24"/>
          <w:lang w:val="en-GB"/>
        </w:rPr>
        <w:t xml:space="preserve">. </w:t>
      </w:r>
      <w:r w:rsidR="00C03EA2">
        <w:rPr>
          <w:rFonts w:ascii="Times New Roman" w:hAnsi="Times New Roman" w:cs="Times New Roman"/>
          <w:sz w:val="24"/>
          <w:szCs w:val="24"/>
          <w:lang w:val="en-GB"/>
        </w:rPr>
        <w:t>Ironically, much of the general scholarship on</w:t>
      </w:r>
      <w:r w:rsidR="007D4B81">
        <w:rPr>
          <w:rFonts w:ascii="Times New Roman" w:hAnsi="Times New Roman" w:cs="Times New Roman"/>
          <w:sz w:val="24"/>
          <w:szCs w:val="24"/>
          <w:lang w:val="en-GB"/>
        </w:rPr>
        <w:t xml:space="preserve"> taxation</w:t>
      </w:r>
      <w:r w:rsidR="00C03EA2">
        <w:rPr>
          <w:rFonts w:ascii="Times New Roman" w:hAnsi="Times New Roman" w:cs="Times New Roman"/>
          <w:sz w:val="24"/>
          <w:szCs w:val="24"/>
          <w:lang w:val="en-GB"/>
        </w:rPr>
        <w:t xml:space="preserve"> and public sector growth</w:t>
      </w:r>
      <w:r w:rsidR="007D4B81">
        <w:rPr>
          <w:rFonts w:ascii="Times New Roman" w:hAnsi="Times New Roman" w:cs="Times New Roman"/>
          <w:sz w:val="24"/>
          <w:szCs w:val="24"/>
          <w:lang w:val="en-GB"/>
        </w:rPr>
        <w:t xml:space="preserve"> suggest</w:t>
      </w:r>
      <w:r w:rsidR="00C03EA2">
        <w:rPr>
          <w:rFonts w:ascii="Times New Roman" w:hAnsi="Times New Roman" w:cs="Times New Roman"/>
          <w:sz w:val="24"/>
          <w:szCs w:val="24"/>
          <w:lang w:val="en-GB"/>
        </w:rPr>
        <w:t>s</w:t>
      </w:r>
      <w:r w:rsidR="007D4B81">
        <w:rPr>
          <w:rFonts w:ascii="Times New Roman" w:hAnsi="Times New Roman" w:cs="Times New Roman"/>
          <w:sz w:val="24"/>
          <w:szCs w:val="24"/>
          <w:lang w:val="en-GB"/>
        </w:rPr>
        <w:t xml:space="preserve"> that </w:t>
      </w:r>
      <w:r w:rsidR="00C03EA2">
        <w:rPr>
          <w:rFonts w:ascii="Times New Roman" w:hAnsi="Times New Roman" w:cs="Times New Roman"/>
          <w:sz w:val="24"/>
          <w:szCs w:val="24"/>
          <w:lang w:val="en-GB"/>
        </w:rPr>
        <w:t>Brazil should be a case of light or moderate</w:t>
      </w:r>
      <w:r w:rsidR="007D4B81">
        <w:rPr>
          <w:rFonts w:ascii="Times New Roman" w:hAnsi="Times New Roman" w:cs="Times New Roman"/>
          <w:sz w:val="24"/>
          <w:szCs w:val="24"/>
          <w:lang w:val="en-GB"/>
        </w:rPr>
        <w:t xml:space="preserve"> taxation. </w:t>
      </w:r>
      <w:r w:rsidR="00C03EA2">
        <w:rPr>
          <w:rFonts w:ascii="Times New Roman" w:hAnsi="Times New Roman" w:cs="Times New Roman"/>
          <w:sz w:val="24"/>
          <w:szCs w:val="24"/>
          <w:lang w:val="en-GB"/>
        </w:rPr>
        <w:t>Some theoretical perspectives, including the</w:t>
      </w:r>
      <w:r w:rsidR="00D024D5">
        <w:rPr>
          <w:rFonts w:ascii="Times New Roman" w:hAnsi="Times New Roman" w:cs="Times New Roman"/>
          <w:sz w:val="24"/>
          <w:szCs w:val="24"/>
          <w:lang w:val="en-GB"/>
        </w:rPr>
        <w:t xml:space="preserve"> rentier state literature, as well as</w:t>
      </w:r>
      <w:r w:rsidR="00207661">
        <w:rPr>
          <w:rFonts w:ascii="Times New Roman" w:hAnsi="Times New Roman" w:cs="Times New Roman"/>
          <w:sz w:val="24"/>
          <w:szCs w:val="24"/>
          <w:lang w:val="en-GB"/>
        </w:rPr>
        <w:t xml:space="preserve"> some theories </w:t>
      </w:r>
      <w:r w:rsidR="007D4B81">
        <w:rPr>
          <w:rFonts w:ascii="Times New Roman" w:hAnsi="Times New Roman" w:cs="Times New Roman"/>
          <w:sz w:val="24"/>
          <w:szCs w:val="24"/>
          <w:lang w:val="en-GB"/>
        </w:rPr>
        <w:t>empha</w:t>
      </w:r>
      <w:r w:rsidR="00207661">
        <w:rPr>
          <w:rFonts w:ascii="Times New Roman" w:hAnsi="Times New Roman" w:cs="Times New Roman"/>
          <w:sz w:val="24"/>
          <w:szCs w:val="24"/>
          <w:lang w:val="en-GB"/>
        </w:rPr>
        <w:t>sising</w:t>
      </w:r>
      <w:r w:rsidR="007D4B81">
        <w:rPr>
          <w:rFonts w:ascii="Times New Roman" w:hAnsi="Times New Roman" w:cs="Times New Roman"/>
          <w:sz w:val="24"/>
          <w:szCs w:val="24"/>
          <w:lang w:val="en-GB"/>
        </w:rPr>
        <w:t xml:space="preserve"> the role of </w:t>
      </w:r>
      <w:r w:rsidR="00D024D5">
        <w:rPr>
          <w:rFonts w:ascii="Times New Roman" w:hAnsi="Times New Roman" w:cs="Times New Roman"/>
          <w:sz w:val="24"/>
          <w:szCs w:val="24"/>
          <w:lang w:val="en-GB"/>
        </w:rPr>
        <w:t>particular class actors, do provide insights into Brazil’s exceptionalism</w:t>
      </w:r>
      <w:r w:rsidR="00A35F8B">
        <w:rPr>
          <w:rFonts w:ascii="Times New Roman" w:hAnsi="Times New Roman" w:cs="Times New Roman"/>
          <w:sz w:val="24"/>
          <w:szCs w:val="24"/>
          <w:lang w:val="en-GB"/>
        </w:rPr>
        <w:t>, but</w:t>
      </w:r>
      <w:r w:rsidR="00D024D5">
        <w:rPr>
          <w:rFonts w:ascii="Times New Roman" w:hAnsi="Times New Roman" w:cs="Times New Roman"/>
          <w:sz w:val="24"/>
          <w:szCs w:val="24"/>
          <w:lang w:val="en-GB"/>
        </w:rPr>
        <w:t xml:space="preserve"> fall well short of</w:t>
      </w:r>
      <w:r w:rsidR="00C03EA2">
        <w:rPr>
          <w:rFonts w:ascii="Times New Roman" w:hAnsi="Times New Roman" w:cs="Times New Roman"/>
          <w:sz w:val="24"/>
          <w:szCs w:val="24"/>
          <w:lang w:val="en-GB"/>
        </w:rPr>
        <w:t xml:space="preserve"> offering</w:t>
      </w:r>
      <w:r w:rsidR="00D024D5">
        <w:rPr>
          <w:rFonts w:ascii="Times New Roman" w:hAnsi="Times New Roman" w:cs="Times New Roman"/>
          <w:sz w:val="24"/>
          <w:szCs w:val="24"/>
          <w:lang w:val="en-GB"/>
        </w:rPr>
        <w:t xml:space="preserve"> a satisfying account. Likewise, the scholarship specifically on Brazil’s</w:t>
      </w:r>
      <w:r w:rsidR="009D3BED">
        <w:rPr>
          <w:rFonts w:ascii="Times New Roman" w:hAnsi="Times New Roman" w:cs="Times New Roman"/>
          <w:sz w:val="24"/>
          <w:szCs w:val="24"/>
          <w:lang w:val="en-GB"/>
        </w:rPr>
        <w:t xml:space="preserve"> tax system usefully highlights</w:t>
      </w:r>
      <w:r w:rsidR="00D024D5">
        <w:rPr>
          <w:rFonts w:ascii="Times New Roman" w:hAnsi="Times New Roman" w:cs="Times New Roman"/>
          <w:sz w:val="24"/>
          <w:szCs w:val="24"/>
          <w:lang w:val="en-GB"/>
        </w:rPr>
        <w:t xml:space="preserve"> how the 1988 constitution </w:t>
      </w:r>
      <w:r w:rsidR="009D3BED">
        <w:rPr>
          <w:rFonts w:ascii="Times New Roman" w:hAnsi="Times New Roman" w:cs="Times New Roman"/>
          <w:sz w:val="24"/>
          <w:szCs w:val="24"/>
          <w:lang w:val="en-GB"/>
        </w:rPr>
        <w:t xml:space="preserve">encouraged </w:t>
      </w:r>
      <w:r w:rsidR="00C03EA2">
        <w:rPr>
          <w:rFonts w:ascii="Times New Roman" w:hAnsi="Times New Roman" w:cs="Times New Roman"/>
          <w:sz w:val="24"/>
          <w:szCs w:val="24"/>
          <w:lang w:val="en-GB"/>
        </w:rPr>
        <w:t>state expansion</w:t>
      </w:r>
      <w:r w:rsidR="00D024D5">
        <w:rPr>
          <w:rFonts w:ascii="Times New Roman" w:hAnsi="Times New Roman" w:cs="Times New Roman"/>
          <w:sz w:val="24"/>
          <w:szCs w:val="24"/>
          <w:lang w:val="en-GB"/>
        </w:rPr>
        <w:t xml:space="preserve">, but cannot explain </w:t>
      </w:r>
      <w:r w:rsidR="00A35F8B">
        <w:rPr>
          <w:rFonts w:ascii="Times New Roman" w:hAnsi="Times New Roman" w:cs="Times New Roman"/>
          <w:sz w:val="24"/>
          <w:szCs w:val="24"/>
          <w:lang w:val="en-GB"/>
        </w:rPr>
        <w:t xml:space="preserve">either why </w:t>
      </w:r>
      <w:r w:rsidR="000F7142">
        <w:rPr>
          <w:rFonts w:ascii="Times New Roman" w:hAnsi="Times New Roman" w:cs="Times New Roman"/>
          <w:sz w:val="24"/>
          <w:szCs w:val="24"/>
          <w:lang w:val="en-GB"/>
        </w:rPr>
        <w:t xml:space="preserve">the tax burden was </w:t>
      </w:r>
      <w:r w:rsidR="000F7142">
        <w:rPr>
          <w:rFonts w:ascii="Times New Roman" w:hAnsi="Times New Roman" w:cs="Times New Roman"/>
          <w:sz w:val="24"/>
          <w:szCs w:val="24"/>
          <w:lang w:val="en-GB"/>
        </w:rPr>
        <w:lastRenderedPageBreak/>
        <w:t>already</w:t>
      </w:r>
      <w:r w:rsidR="00A35F8B">
        <w:rPr>
          <w:rFonts w:ascii="Times New Roman" w:hAnsi="Times New Roman" w:cs="Times New Roman"/>
          <w:sz w:val="24"/>
          <w:szCs w:val="24"/>
          <w:lang w:val="en-GB"/>
        </w:rPr>
        <w:t xml:space="preserve"> heavy before 1988 or why more than a quarter century of</w:t>
      </w:r>
      <w:r w:rsidR="00A17724">
        <w:rPr>
          <w:rFonts w:ascii="Times New Roman" w:hAnsi="Times New Roman" w:cs="Times New Roman"/>
          <w:sz w:val="24"/>
          <w:szCs w:val="24"/>
          <w:lang w:val="en-GB"/>
        </w:rPr>
        <w:t xml:space="preserve"> nearly</w:t>
      </w:r>
      <w:r w:rsidR="00A35F8B">
        <w:rPr>
          <w:rFonts w:ascii="Times New Roman" w:hAnsi="Times New Roman" w:cs="Times New Roman"/>
          <w:sz w:val="24"/>
          <w:szCs w:val="24"/>
          <w:lang w:val="en-GB"/>
        </w:rPr>
        <w:t xml:space="preserve"> continuous amendment has been unable to reverse this characteristic.</w:t>
      </w:r>
    </w:p>
    <w:p w:rsidR="002F433C" w:rsidRPr="00D9330B" w:rsidRDefault="002433DF" w:rsidP="00A8799C">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Employing c</w:t>
      </w:r>
      <w:r w:rsidR="00A8799C">
        <w:rPr>
          <w:rFonts w:ascii="Times New Roman" w:hAnsi="Times New Roman" w:cs="Times New Roman"/>
          <w:sz w:val="24"/>
          <w:szCs w:val="24"/>
          <w:lang w:val="en-GB"/>
        </w:rPr>
        <w:t>omparative historical analysis</w:t>
      </w:r>
      <w:r w:rsidR="00207661">
        <w:rPr>
          <w:rFonts w:ascii="Times New Roman" w:hAnsi="Times New Roman" w:cs="Times New Roman"/>
          <w:sz w:val="24"/>
          <w:szCs w:val="24"/>
          <w:lang w:val="en-GB"/>
        </w:rPr>
        <w:t>, this</w:t>
      </w:r>
      <w:r w:rsidR="001F395A">
        <w:rPr>
          <w:rFonts w:ascii="Times New Roman" w:hAnsi="Times New Roman" w:cs="Times New Roman"/>
          <w:sz w:val="24"/>
          <w:szCs w:val="24"/>
          <w:lang w:val="en-GB"/>
        </w:rPr>
        <w:t xml:space="preserve"> paper has developed an explanation that situates</w:t>
      </w:r>
      <w:r w:rsidR="00D55DF8">
        <w:rPr>
          <w:rFonts w:ascii="Times New Roman" w:hAnsi="Times New Roman" w:cs="Times New Roman"/>
          <w:sz w:val="24"/>
          <w:szCs w:val="24"/>
          <w:lang w:val="en-GB"/>
        </w:rPr>
        <w:t xml:space="preserve"> the contributions</w:t>
      </w:r>
      <w:r w:rsidR="001F395A">
        <w:rPr>
          <w:rFonts w:ascii="Times New Roman" w:hAnsi="Times New Roman" w:cs="Times New Roman"/>
          <w:sz w:val="24"/>
          <w:szCs w:val="24"/>
          <w:lang w:val="en-GB"/>
        </w:rPr>
        <w:t xml:space="preserve"> of previous work within a broader framework</w:t>
      </w:r>
      <w:r>
        <w:rPr>
          <w:rFonts w:ascii="Times New Roman" w:hAnsi="Times New Roman" w:cs="Times New Roman"/>
          <w:sz w:val="24"/>
          <w:szCs w:val="24"/>
          <w:lang w:val="en-GB"/>
        </w:rPr>
        <w:t>. It emphasises</w:t>
      </w:r>
      <w:r w:rsidR="003072B8" w:rsidRPr="00D9330B">
        <w:rPr>
          <w:rFonts w:ascii="Times New Roman" w:hAnsi="Times New Roman" w:cs="Times New Roman"/>
          <w:sz w:val="24"/>
          <w:szCs w:val="24"/>
          <w:lang w:val="en-GB"/>
        </w:rPr>
        <w:t xml:space="preserve"> the</w:t>
      </w:r>
      <w:r w:rsidR="00C51644" w:rsidRPr="00D9330B">
        <w:rPr>
          <w:rFonts w:ascii="Times New Roman" w:hAnsi="Times New Roman" w:cs="Times New Roman"/>
          <w:sz w:val="24"/>
          <w:szCs w:val="24"/>
          <w:lang w:val="en-GB"/>
        </w:rPr>
        <w:t xml:space="preserve"> changing</w:t>
      </w:r>
      <w:r w:rsidR="003072B8" w:rsidRPr="00D9330B">
        <w:rPr>
          <w:rFonts w:ascii="Times New Roman" w:hAnsi="Times New Roman" w:cs="Times New Roman"/>
          <w:sz w:val="24"/>
          <w:szCs w:val="24"/>
          <w:lang w:val="en-GB"/>
        </w:rPr>
        <w:t xml:space="preserve"> interaction</w:t>
      </w:r>
      <w:r w:rsidR="00C51644" w:rsidRPr="00D9330B">
        <w:rPr>
          <w:rFonts w:ascii="Times New Roman" w:hAnsi="Times New Roman" w:cs="Times New Roman"/>
          <w:sz w:val="24"/>
          <w:szCs w:val="24"/>
          <w:lang w:val="en-GB"/>
        </w:rPr>
        <w:t>s</w:t>
      </w:r>
      <w:r w:rsidR="003072B8" w:rsidRPr="00D9330B">
        <w:rPr>
          <w:rFonts w:ascii="Times New Roman" w:hAnsi="Times New Roman" w:cs="Times New Roman"/>
          <w:sz w:val="24"/>
          <w:szCs w:val="24"/>
          <w:lang w:val="en-GB"/>
        </w:rPr>
        <w:t xml:space="preserve"> between</w:t>
      </w:r>
      <w:r w:rsidR="00714566" w:rsidRPr="00D9330B">
        <w:rPr>
          <w:rFonts w:ascii="Times New Roman" w:hAnsi="Times New Roman" w:cs="Times New Roman"/>
          <w:sz w:val="24"/>
          <w:szCs w:val="24"/>
          <w:lang w:val="en-GB"/>
        </w:rPr>
        <w:t xml:space="preserve"> two variables:</w:t>
      </w:r>
      <w:r w:rsidR="000F1199" w:rsidRPr="00D9330B">
        <w:rPr>
          <w:rFonts w:ascii="Times New Roman" w:hAnsi="Times New Roman" w:cs="Times New Roman"/>
          <w:sz w:val="24"/>
          <w:szCs w:val="24"/>
          <w:lang w:val="en-GB"/>
        </w:rPr>
        <w:t xml:space="preserve"> the</w:t>
      </w:r>
      <w:r w:rsidR="003072B8" w:rsidRPr="00D9330B">
        <w:rPr>
          <w:rFonts w:ascii="Times New Roman" w:hAnsi="Times New Roman" w:cs="Times New Roman"/>
          <w:sz w:val="24"/>
          <w:szCs w:val="24"/>
          <w:lang w:val="en-GB"/>
        </w:rPr>
        <w:t xml:space="preserve"> class dynamics of public sector growth and the political </w:t>
      </w:r>
      <w:r w:rsidR="009A3128" w:rsidRPr="00D9330B">
        <w:rPr>
          <w:rFonts w:ascii="Times New Roman" w:hAnsi="Times New Roman" w:cs="Times New Roman"/>
          <w:sz w:val="24"/>
          <w:szCs w:val="24"/>
          <w:lang w:val="en-GB"/>
        </w:rPr>
        <w:t>conditions for democracy</w:t>
      </w:r>
      <w:r w:rsidR="00197617" w:rsidRPr="00D9330B">
        <w:rPr>
          <w:rFonts w:ascii="Times New Roman" w:hAnsi="Times New Roman" w:cs="Times New Roman"/>
          <w:sz w:val="24"/>
          <w:szCs w:val="24"/>
          <w:lang w:val="en-GB"/>
        </w:rPr>
        <w:t>. Brazil</w:t>
      </w:r>
      <w:r w:rsidR="003072B8" w:rsidRPr="00D9330B">
        <w:rPr>
          <w:rFonts w:ascii="Times New Roman" w:hAnsi="Times New Roman" w:cs="Times New Roman"/>
          <w:sz w:val="24"/>
          <w:szCs w:val="24"/>
          <w:lang w:val="en-GB"/>
        </w:rPr>
        <w:t xml:space="preserve"> emerged as Latin America’s most heavily taxed country by the early 1980s because</w:t>
      </w:r>
      <w:r w:rsidR="00104EF4" w:rsidRPr="00D9330B">
        <w:rPr>
          <w:rFonts w:ascii="Times New Roman" w:hAnsi="Times New Roman" w:cs="Times New Roman"/>
          <w:sz w:val="24"/>
          <w:szCs w:val="24"/>
          <w:lang w:val="en-GB"/>
        </w:rPr>
        <w:t xml:space="preserve"> state expansion during</w:t>
      </w:r>
      <w:r w:rsidR="00197617" w:rsidRPr="00D9330B">
        <w:rPr>
          <w:rFonts w:ascii="Times New Roman" w:hAnsi="Times New Roman" w:cs="Times New Roman"/>
          <w:sz w:val="24"/>
          <w:szCs w:val="24"/>
          <w:lang w:val="en-GB"/>
        </w:rPr>
        <w:t xml:space="preserve"> preceding decades was</w:t>
      </w:r>
      <w:r w:rsidR="00C51644" w:rsidRPr="00D9330B">
        <w:rPr>
          <w:rFonts w:ascii="Times New Roman" w:hAnsi="Times New Roman" w:cs="Times New Roman"/>
          <w:sz w:val="24"/>
          <w:szCs w:val="24"/>
          <w:lang w:val="en-GB"/>
        </w:rPr>
        <w:t xml:space="preserve"> driven largely by elite interests, rather than popular pressures. This was crucial during the</w:t>
      </w:r>
      <w:r w:rsidR="000D3F58" w:rsidRPr="00D9330B">
        <w:rPr>
          <w:rFonts w:ascii="Times New Roman" w:hAnsi="Times New Roman" w:cs="Times New Roman"/>
          <w:sz w:val="24"/>
          <w:szCs w:val="24"/>
          <w:lang w:val="en-GB"/>
        </w:rPr>
        <w:t xml:space="preserve"> tense years of the</w:t>
      </w:r>
      <w:r w:rsidR="00C51644" w:rsidRPr="00D9330B">
        <w:rPr>
          <w:rFonts w:ascii="Times New Roman" w:hAnsi="Times New Roman" w:cs="Times New Roman"/>
          <w:sz w:val="24"/>
          <w:szCs w:val="24"/>
          <w:lang w:val="en-GB"/>
        </w:rPr>
        <w:t xml:space="preserve"> Cold</w:t>
      </w:r>
      <w:r w:rsidR="00E0399A" w:rsidRPr="00D9330B">
        <w:rPr>
          <w:rFonts w:ascii="Times New Roman" w:hAnsi="Times New Roman" w:cs="Times New Roman"/>
          <w:sz w:val="24"/>
          <w:szCs w:val="24"/>
          <w:lang w:val="en-GB"/>
        </w:rPr>
        <w:t xml:space="preserve"> War, when democracy was</w:t>
      </w:r>
      <w:r w:rsidR="00C51644" w:rsidRPr="00D9330B">
        <w:rPr>
          <w:rFonts w:ascii="Times New Roman" w:hAnsi="Times New Roman" w:cs="Times New Roman"/>
          <w:sz w:val="24"/>
          <w:szCs w:val="24"/>
          <w:lang w:val="en-GB"/>
        </w:rPr>
        <w:t xml:space="preserve"> fragile. Brazil’</w:t>
      </w:r>
      <w:r w:rsidR="00831790" w:rsidRPr="00D9330B">
        <w:rPr>
          <w:rFonts w:ascii="Times New Roman" w:hAnsi="Times New Roman" w:cs="Times New Roman"/>
          <w:sz w:val="24"/>
          <w:szCs w:val="24"/>
          <w:lang w:val="en-GB"/>
        </w:rPr>
        <w:t>s</w:t>
      </w:r>
      <w:r w:rsidR="00C51644" w:rsidRPr="00D9330B">
        <w:rPr>
          <w:rFonts w:ascii="Times New Roman" w:hAnsi="Times New Roman" w:cs="Times New Roman"/>
          <w:sz w:val="24"/>
          <w:szCs w:val="24"/>
          <w:lang w:val="en-GB"/>
        </w:rPr>
        <w:t xml:space="preserve"> </w:t>
      </w:r>
      <w:r w:rsidR="00831790" w:rsidRPr="00D9330B">
        <w:rPr>
          <w:rFonts w:ascii="Times New Roman" w:hAnsi="Times New Roman" w:cs="Times New Roman"/>
          <w:sz w:val="24"/>
          <w:szCs w:val="24"/>
          <w:lang w:val="en-GB"/>
        </w:rPr>
        <w:t xml:space="preserve">democracy crumbled </w:t>
      </w:r>
      <w:r w:rsidR="00C51644" w:rsidRPr="00D9330B">
        <w:rPr>
          <w:rFonts w:ascii="Times New Roman" w:hAnsi="Times New Roman" w:cs="Times New Roman"/>
          <w:sz w:val="24"/>
          <w:szCs w:val="24"/>
          <w:lang w:val="en-GB"/>
        </w:rPr>
        <w:t>in 1964, but unlike their Southern Cone cou</w:t>
      </w:r>
      <w:r w:rsidR="001918C6" w:rsidRPr="00D9330B">
        <w:rPr>
          <w:rFonts w:ascii="Times New Roman" w:hAnsi="Times New Roman" w:cs="Times New Roman"/>
          <w:sz w:val="24"/>
          <w:szCs w:val="24"/>
          <w:lang w:val="en-GB"/>
        </w:rPr>
        <w:t>nterparts, the leaders and civilian</w:t>
      </w:r>
      <w:r w:rsidR="00403676" w:rsidRPr="00D9330B">
        <w:rPr>
          <w:rFonts w:ascii="Times New Roman" w:hAnsi="Times New Roman" w:cs="Times New Roman"/>
          <w:sz w:val="24"/>
          <w:szCs w:val="24"/>
          <w:lang w:val="en-GB"/>
        </w:rPr>
        <w:t xml:space="preserve"> supporters of the</w:t>
      </w:r>
      <w:r w:rsidR="00104EF4" w:rsidRPr="00D9330B">
        <w:rPr>
          <w:rFonts w:ascii="Times New Roman" w:hAnsi="Times New Roman" w:cs="Times New Roman"/>
          <w:sz w:val="24"/>
          <w:szCs w:val="24"/>
          <w:lang w:val="en-GB"/>
        </w:rPr>
        <w:t xml:space="preserve"> </w:t>
      </w:r>
      <w:r w:rsidR="00831790" w:rsidRPr="00D9330B">
        <w:rPr>
          <w:rFonts w:ascii="Times New Roman" w:hAnsi="Times New Roman" w:cs="Times New Roman"/>
          <w:sz w:val="24"/>
          <w:szCs w:val="24"/>
          <w:lang w:val="en-GB"/>
        </w:rPr>
        <w:t>m</w:t>
      </w:r>
      <w:r w:rsidR="00104EF4" w:rsidRPr="00D9330B">
        <w:rPr>
          <w:rFonts w:ascii="Times New Roman" w:hAnsi="Times New Roman" w:cs="Times New Roman"/>
          <w:sz w:val="24"/>
          <w:szCs w:val="24"/>
          <w:lang w:val="en-GB"/>
        </w:rPr>
        <w:t>ilitary regime</w:t>
      </w:r>
      <w:r w:rsidR="000B669C" w:rsidRPr="00D9330B">
        <w:rPr>
          <w:rFonts w:ascii="Times New Roman" w:hAnsi="Times New Roman" w:cs="Times New Roman"/>
          <w:sz w:val="24"/>
          <w:szCs w:val="24"/>
          <w:lang w:val="en-GB"/>
        </w:rPr>
        <w:t xml:space="preserve"> did not feel compelled</w:t>
      </w:r>
      <w:r w:rsidR="00C51644" w:rsidRPr="00D9330B">
        <w:rPr>
          <w:rFonts w:ascii="Times New Roman" w:hAnsi="Times New Roman" w:cs="Times New Roman"/>
          <w:sz w:val="24"/>
          <w:szCs w:val="24"/>
          <w:lang w:val="en-GB"/>
        </w:rPr>
        <w:t xml:space="preserve"> to roll back the growth of</w:t>
      </w:r>
      <w:r w:rsidR="00E63D76" w:rsidRPr="00D9330B">
        <w:rPr>
          <w:rFonts w:ascii="Times New Roman" w:hAnsi="Times New Roman" w:cs="Times New Roman"/>
          <w:sz w:val="24"/>
          <w:szCs w:val="24"/>
          <w:lang w:val="en-GB"/>
        </w:rPr>
        <w:t xml:space="preserve"> the</w:t>
      </w:r>
      <w:r w:rsidR="00492533" w:rsidRPr="00D9330B">
        <w:rPr>
          <w:rFonts w:ascii="Times New Roman" w:hAnsi="Times New Roman" w:cs="Times New Roman"/>
          <w:sz w:val="24"/>
          <w:szCs w:val="24"/>
          <w:lang w:val="en-GB"/>
        </w:rPr>
        <w:t xml:space="preserve"> state</w:t>
      </w:r>
      <w:r w:rsidR="007A323D" w:rsidRPr="00D9330B">
        <w:rPr>
          <w:rFonts w:ascii="Times New Roman" w:hAnsi="Times New Roman" w:cs="Times New Roman"/>
          <w:sz w:val="24"/>
          <w:szCs w:val="24"/>
          <w:lang w:val="en-GB"/>
        </w:rPr>
        <w:t>, which</w:t>
      </w:r>
      <w:r w:rsidR="00E3630B" w:rsidRPr="00D9330B">
        <w:rPr>
          <w:rFonts w:ascii="Times New Roman" w:hAnsi="Times New Roman" w:cs="Times New Roman"/>
          <w:sz w:val="24"/>
          <w:szCs w:val="24"/>
          <w:lang w:val="en-GB"/>
        </w:rPr>
        <w:t xml:space="preserve"> they did not view as particularly threatening</w:t>
      </w:r>
      <w:r w:rsidR="00C51644" w:rsidRPr="00D9330B">
        <w:rPr>
          <w:rFonts w:ascii="Times New Roman" w:hAnsi="Times New Roman" w:cs="Times New Roman"/>
          <w:sz w:val="24"/>
          <w:szCs w:val="24"/>
          <w:lang w:val="en-GB"/>
        </w:rPr>
        <w:t>.</w:t>
      </w:r>
      <w:r w:rsidR="00E3630B" w:rsidRPr="00D9330B">
        <w:rPr>
          <w:rFonts w:ascii="Times New Roman" w:hAnsi="Times New Roman" w:cs="Times New Roman"/>
          <w:sz w:val="24"/>
          <w:szCs w:val="24"/>
          <w:lang w:val="en-GB"/>
        </w:rPr>
        <w:t xml:space="preserve"> I</w:t>
      </w:r>
      <w:r w:rsidR="00D9744D">
        <w:rPr>
          <w:rFonts w:ascii="Times New Roman" w:hAnsi="Times New Roman" w:cs="Times New Roman"/>
          <w:sz w:val="24"/>
          <w:szCs w:val="24"/>
          <w:lang w:val="en-GB"/>
        </w:rPr>
        <w:t>ndeed, they deepened it</w:t>
      </w:r>
      <w:r w:rsidR="00C51644" w:rsidRPr="00D9330B">
        <w:rPr>
          <w:rFonts w:ascii="Times New Roman" w:hAnsi="Times New Roman" w:cs="Times New Roman"/>
          <w:sz w:val="24"/>
          <w:szCs w:val="24"/>
          <w:lang w:val="en-GB"/>
        </w:rPr>
        <w:t xml:space="preserve"> considerably.</w:t>
      </w:r>
    </w:p>
    <w:p w:rsidR="00DD40C1" w:rsidRDefault="00714566" w:rsidP="00916021">
      <w:pPr>
        <w:spacing w:after="0" w:line="480" w:lineRule="auto"/>
        <w:rPr>
          <w:rFonts w:ascii="Times New Roman" w:hAnsi="Times New Roman" w:cs="Times New Roman"/>
          <w:sz w:val="24"/>
          <w:szCs w:val="24"/>
          <w:lang w:val="en-GB"/>
        </w:rPr>
      </w:pPr>
      <w:r w:rsidRPr="00D9330B">
        <w:rPr>
          <w:rFonts w:ascii="Times New Roman" w:hAnsi="Times New Roman" w:cs="Times New Roman"/>
          <w:sz w:val="24"/>
          <w:szCs w:val="24"/>
          <w:lang w:val="en-GB"/>
        </w:rPr>
        <w:tab/>
        <w:t xml:space="preserve">In subsequent decades conditions changed with </w:t>
      </w:r>
      <w:r w:rsidR="00E0399A" w:rsidRPr="00D9330B">
        <w:rPr>
          <w:rFonts w:ascii="Times New Roman" w:hAnsi="Times New Roman" w:cs="Times New Roman"/>
          <w:sz w:val="24"/>
          <w:szCs w:val="24"/>
          <w:lang w:val="en-GB"/>
        </w:rPr>
        <w:t>respect</w:t>
      </w:r>
      <w:r w:rsidRPr="00D9330B">
        <w:rPr>
          <w:rFonts w:ascii="Times New Roman" w:hAnsi="Times New Roman" w:cs="Times New Roman"/>
          <w:sz w:val="24"/>
          <w:szCs w:val="24"/>
          <w:lang w:val="en-GB"/>
        </w:rPr>
        <w:t xml:space="preserve"> to both variables, but </w:t>
      </w:r>
      <w:r w:rsidR="00F17ED2" w:rsidRPr="00D9330B">
        <w:rPr>
          <w:rFonts w:ascii="Times New Roman" w:hAnsi="Times New Roman" w:cs="Times New Roman"/>
          <w:sz w:val="24"/>
          <w:szCs w:val="24"/>
          <w:lang w:val="en-GB"/>
        </w:rPr>
        <w:t>in ways that continued</w:t>
      </w:r>
      <w:r w:rsidRPr="00D9330B">
        <w:rPr>
          <w:rFonts w:ascii="Times New Roman" w:hAnsi="Times New Roman" w:cs="Times New Roman"/>
          <w:sz w:val="24"/>
          <w:szCs w:val="24"/>
          <w:lang w:val="en-GB"/>
        </w:rPr>
        <w:t xml:space="preserve"> to </w:t>
      </w:r>
      <w:r w:rsidR="00417E34">
        <w:rPr>
          <w:rFonts w:ascii="Times New Roman" w:hAnsi="Times New Roman" w:cs="Times New Roman"/>
          <w:sz w:val="24"/>
          <w:szCs w:val="24"/>
          <w:lang w:val="en-GB"/>
        </w:rPr>
        <w:t>favour higher taxation in Brazil</w:t>
      </w:r>
      <w:r w:rsidRPr="00D9330B">
        <w:rPr>
          <w:rFonts w:ascii="Times New Roman" w:hAnsi="Times New Roman" w:cs="Times New Roman"/>
          <w:sz w:val="24"/>
          <w:szCs w:val="24"/>
          <w:lang w:val="en-GB"/>
        </w:rPr>
        <w:t>.</w:t>
      </w:r>
      <w:r w:rsidR="000F1199" w:rsidRPr="00D9330B">
        <w:rPr>
          <w:rFonts w:ascii="Times New Roman" w:hAnsi="Times New Roman" w:cs="Times New Roman"/>
          <w:sz w:val="24"/>
          <w:szCs w:val="24"/>
          <w:lang w:val="en-GB"/>
        </w:rPr>
        <w:t xml:space="preserve"> P</w:t>
      </w:r>
      <w:r w:rsidR="00A85417" w:rsidRPr="00D9330B">
        <w:rPr>
          <w:rFonts w:ascii="Times New Roman" w:hAnsi="Times New Roman" w:cs="Times New Roman"/>
          <w:sz w:val="24"/>
          <w:szCs w:val="24"/>
          <w:lang w:val="en-GB"/>
        </w:rPr>
        <w:t xml:space="preserve">opular sectors emerged from the Southern </w:t>
      </w:r>
      <w:r w:rsidR="00E63D76" w:rsidRPr="00D9330B">
        <w:rPr>
          <w:rFonts w:ascii="Times New Roman" w:hAnsi="Times New Roman" w:cs="Times New Roman"/>
          <w:sz w:val="24"/>
          <w:szCs w:val="24"/>
          <w:lang w:val="en-GB"/>
        </w:rPr>
        <w:t>Cone dictatorships</w:t>
      </w:r>
      <w:r w:rsidR="00A85417" w:rsidRPr="00D9330B">
        <w:rPr>
          <w:rFonts w:ascii="Times New Roman" w:hAnsi="Times New Roman" w:cs="Times New Roman"/>
          <w:sz w:val="24"/>
          <w:szCs w:val="24"/>
          <w:lang w:val="en-GB"/>
        </w:rPr>
        <w:t xml:space="preserve"> weakened, </w:t>
      </w:r>
      <w:r w:rsidR="000F1199" w:rsidRPr="00D9330B">
        <w:rPr>
          <w:rFonts w:ascii="Times New Roman" w:hAnsi="Times New Roman" w:cs="Times New Roman"/>
          <w:sz w:val="24"/>
          <w:szCs w:val="24"/>
          <w:lang w:val="en-GB"/>
        </w:rPr>
        <w:t xml:space="preserve">but </w:t>
      </w:r>
      <w:r w:rsidR="00A85417" w:rsidRPr="00D9330B">
        <w:rPr>
          <w:rFonts w:ascii="Times New Roman" w:hAnsi="Times New Roman" w:cs="Times New Roman"/>
          <w:sz w:val="24"/>
          <w:szCs w:val="24"/>
          <w:lang w:val="en-GB"/>
        </w:rPr>
        <w:t>in Brazil, state-led expansion of the economy strengthened them and created</w:t>
      </w:r>
      <w:r w:rsidR="00831790" w:rsidRPr="00D9330B">
        <w:rPr>
          <w:rFonts w:ascii="Times New Roman" w:hAnsi="Times New Roman" w:cs="Times New Roman"/>
          <w:sz w:val="24"/>
          <w:szCs w:val="24"/>
          <w:lang w:val="en-GB"/>
        </w:rPr>
        <w:t xml:space="preserve"> favourable</w:t>
      </w:r>
      <w:r w:rsidR="00A85417" w:rsidRPr="00D9330B">
        <w:rPr>
          <w:rFonts w:ascii="Times New Roman" w:hAnsi="Times New Roman" w:cs="Times New Roman"/>
          <w:sz w:val="24"/>
          <w:szCs w:val="24"/>
          <w:lang w:val="en-GB"/>
        </w:rPr>
        <w:t xml:space="preserve"> conditions for a new surge of public </w:t>
      </w:r>
      <w:r w:rsidR="007C04E8" w:rsidRPr="00D9330B">
        <w:rPr>
          <w:rFonts w:ascii="Times New Roman" w:hAnsi="Times New Roman" w:cs="Times New Roman"/>
          <w:sz w:val="24"/>
          <w:szCs w:val="24"/>
          <w:lang w:val="en-GB"/>
        </w:rPr>
        <w:t>sector growth, but this time</w:t>
      </w:r>
      <w:r w:rsidR="006C6C73" w:rsidRPr="00D9330B">
        <w:rPr>
          <w:rFonts w:ascii="Times New Roman" w:hAnsi="Times New Roman" w:cs="Times New Roman"/>
          <w:sz w:val="24"/>
          <w:szCs w:val="24"/>
          <w:lang w:val="en-GB"/>
        </w:rPr>
        <w:t xml:space="preserve"> one</w:t>
      </w:r>
      <w:r w:rsidR="00F17ED2" w:rsidRPr="00D9330B">
        <w:rPr>
          <w:rFonts w:ascii="Times New Roman" w:hAnsi="Times New Roman" w:cs="Times New Roman"/>
          <w:sz w:val="24"/>
          <w:szCs w:val="24"/>
          <w:lang w:val="en-GB"/>
        </w:rPr>
        <w:t xml:space="preserve"> driven</w:t>
      </w:r>
      <w:r w:rsidR="00417E34">
        <w:rPr>
          <w:rFonts w:ascii="Times New Roman" w:hAnsi="Times New Roman" w:cs="Times New Roman"/>
          <w:sz w:val="24"/>
          <w:szCs w:val="24"/>
          <w:lang w:val="en-GB"/>
        </w:rPr>
        <w:t xml:space="preserve"> more</w:t>
      </w:r>
      <w:r w:rsidR="00F17ED2" w:rsidRPr="00D9330B">
        <w:rPr>
          <w:rFonts w:ascii="Times New Roman" w:hAnsi="Times New Roman" w:cs="Times New Roman"/>
          <w:sz w:val="24"/>
          <w:szCs w:val="24"/>
          <w:lang w:val="en-GB"/>
        </w:rPr>
        <w:t xml:space="preserve"> by</w:t>
      </w:r>
      <w:r w:rsidR="00A85417" w:rsidRPr="00D9330B">
        <w:rPr>
          <w:rFonts w:ascii="Times New Roman" w:hAnsi="Times New Roman" w:cs="Times New Roman"/>
          <w:sz w:val="24"/>
          <w:szCs w:val="24"/>
          <w:lang w:val="en-GB"/>
        </w:rPr>
        <w:t xml:space="preserve"> social spending.</w:t>
      </w:r>
      <w:r w:rsidR="00831790" w:rsidRPr="00D9330B">
        <w:rPr>
          <w:rFonts w:ascii="Times New Roman" w:hAnsi="Times New Roman" w:cs="Times New Roman"/>
          <w:sz w:val="24"/>
          <w:szCs w:val="24"/>
          <w:lang w:val="en-GB"/>
        </w:rPr>
        <w:t xml:space="preserve"> T</w:t>
      </w:r>
      <w:r w:rsidR="000F1199" w:rsidRPr="00D9330B">
        <w:rPr>
          <w:rFonts w:ascii="Times New Roman" w:hAnsi="Times New Roman" w:cs="Times New Roman"/>
          <w:sz w:val="24"/>
          <w:szCs w:val="24"/>
          <w:lang w:val="en-GB"/>
        </w:rPr>
        <w:t>o be sure, t</w:t>
      </w:r>
      <w:r w:rsidR="00831790" w:rsidRPr="00D9330B">
        <w:rPr>
          <w:rFonts w:ascii="Times New Roman" w:hAnsi="Times New Roman" w:cs="Times New Roman"/>
          <w:sz w:val="24"/>
          <w:szCs w:val="24"/>
          <w:lang w:val="en-GB"/>
        </w:rPr>
        <w:t>he</w:t>
      </w:r>
      <w:r w:rsidR="001C1434">
        <w:rPr>
          <w:rFonts w:ascii="Times New Roman" w:hAnsi="Times New Roman" w:cs="Times New Roman"/>
          <w:sz w:val="24"/>
          <w:szCs w:val="24"/>
          <w:lang w:val="en-GB"/>
        </w:rPr>
        <w:t xml:space="preserve"> </w:t>
      </w:r>
      <w:proofErr w:type="spellStart"/>
      <w:r w:rsidR="001C1434">
        <w:rPr>
          <w:rFonts w:ascii="Times New Roman" w:hAnsi="Times New Roman" w:cs="Times New Roman"/>
          <w:sz w:val="24"/>
          <w:szCs w:val="24"/>
          <w:lang w:val="en-GB"/>
        </w:rPr>
        <w:t>statism</w:t>
      </w:r>
      <w:proofErr w:type="spellEnd"/>
      <w:r w:rsidR="00F37A11">
        <w:rPr>
          <w:rFonts w:ascii="Times New Roman" w:hAnsi="Times New Roman" w:cs="Times New Roman"/>
          <w:sz w:val="24"/>
          <w:szCs w:val="24"/>
          <w:lang w:val="en-GB"/>
        </w:rPr>
        <w:t xml:space="preserve"> of the 1988 c</w:t>
      </w:r>
      <w:r w:rsidR="00831790" w:rsidRPr="00D9330B">
        <w:rPr>
          <w:rFonts w:ascii="Times New Roman" w:hAnsi="Times New Roman" w:cs="Times New Roman"/>
          <w:sz w:val="24"/>
          <w:szCs w:val="24"/>
          <w:lang w:val="en-GB"/>
        </w:rPr>
        <w:t>onstitution contributed to this surge</w:t>
      </w:r>
      <w:r w:rsidR="000F1199" w:rsidRPr="00D9330B">
        <w:rPr>
          <w:rFonts w:ascii="Times New Roman" w:hAnsi="Times New Roman" w:cs="Times New Roman"/>
          <w:sz w:val="24"/>
          <w:szCs w:val="24"/>
          <w:lang w:val="en-GB"/>
        </w:rPr>
        <w:t>,</w:t>
      </w:r>
      <w:r w:rsidR="00831790" w:rsidRPr="00D9330B">
        <w:rPr>
          <w:rFonts w:ascii="Times New Roman" w:hAnsi="Times New Roman" w:cs="Times New Roman"/>
          <w:sz w:val="24"/>
          <w:szCs w:val="24"/>
          <w:lang w:val="en-GB"/>
        </w:rPr>
        <w:t xml:space="preserve"> but i</w:t>
      </w:r>
      <w:r w:rsidR="000F1199" w:rsidRPr="00D9330B">
        <w:rPr>
          <w:rFonts w:ascii="Times New Roman" w:hAnsi="Times New Roman" w:cs="Times New Roman"/>
          <w:sz w:val="24"/>
          <w:szCs w:val="24"/>
          <w:lang w:val="en-GB"/>
        </w:rPr>
        <w:t>ts provisions and the manner in which</w:t>
      </w:r>
      <w:r w:rsidR="007A323D" w:rsidRPr="00D9330B">
        <w:rPr>
          <w:rFonts w:ascii="Times New Roman" w:hAnsi="Times New Roman" w:cs="Times New Roman"/>
          <w:sz w:val="24"/>
          <w:szCs w:val="24"/>
          <w:lang w:val="en-GB"/>
        </w:rPr>
        <w:t xml:space="preserve"> it</w:t>
      </w:r>
      <w:r w:rsidR="000F1199" w:rsidRPr="00D9330B">
        <w:rPr>
          <w:rFonts w:ascii="Times New Roman" w:hAnsi="Times New Roman" w:cs="Times New Roman"/>
          <w:sz w:val="24"/>
          <w:szCs w:val="24"/>
          <w:lang w:val="en-GB"/>
        </w:rPr>
        <w:t xml:space="preserve"> has been implemented</w:t>
      </w:r>
      <w:r w:rsidR="00831790" w:rsidRPr="00D9330B">
        <w:rPr>
          <w:rFonts w:ascii="Times New Roman" w:hAnsi="Times New Roman" w:cs="Times New Roman"/>
          <w:sz w:val="24"/>
          <w:szCs w:val="24"/>
          <w:lang w:val="en-GB"/>
        </w:rPr>
        <w:t xml:space="preserve"> should be se</w:t>
      </w:r>
      <w:r w:rsidR="00DA493D" w:rsidRPr="00D9330B">
        <w:rPr>
          <w:rFonts w:ascii="Times New Roman" w:hAnsi="Times New Roman" w:cs="Times New Roman"/>
          <w:sz w:val="24"/>
          <w:szCs w:val="24"/>
          <w:lang w:val="en-GB"/>
        </w:rPr>
        <w:t>en as</w:t>
      </w:r>
      <w:r w:rsidR="00831790" w:rsidRPr="00D9330B">
        <w:rPr>
          <w:rFonts w:ascii="Times New Roman" w:hAnsi="Times New Roman" w:cs="Times New Roman"/>
          <w:sz w:val="24"/>
          <w:szCs w:val="24"/>
          <w:lang w:val="en-GB"/>
        </w:rPr>
        <w:t xml:space="preserve"> </w:t>
      </w:r>
      <w:r w:rsidR="00F17ED2" w:rsidRPr="00D9330B">
        <w:rPr>
          <w:rFonts w:ascii="Times New Roman" w:hAnsi="Times New Roman" w:cs="Times New Roman"/>
          <w:sz w:val="24"/>
          <w:szCs w:val="24"/>
          <w:lang w:val="en-GB"/>
        </w:rPr>
        <w:t xml:space="preserve">partly </w:t>
      </w:r>
      <w:r w:rsidR="00831790" w:rsidRPr="00D9330B">
        <w:rPr>
          <w:rFonts w:ascii="Times New Roman" w:hAnsi="Times New Roman" w:cs="Times New Roman"/>
          <w:sz w:val="24"/>
          <w:szCs w:val="24"/>
          <w:lang w:val="en-GB"/>
        </w:rPr>
        <w:t>reflect</w:t>
      </w:r>
      <w:r w:rsidR="005C61C6" w:rsidRPr="00D9330B">
        <w:rPr>
          <w:rFonts w:ascii="Times New Roman" w:hAnsi="Times New Roman" w:cs="Times New Roman"/>
          <w:sz w:val="24"/>
          <w:szCs w:val="24"/>
          <w:lang w:val="en-GB"/>
        </w:rPr>
        <w:t>ive of this new balance of</w:t>
      </w:r>
      <w:r w:rsidR="00831790" w:rsidRPr="00D9330B">
        <w:rPr>
          <w:rFonts w:ascii="Times New Roman" w:hAnsi="Times New Roman" w:cs="Times New Roman"/>
          <w:sz w:val="24"/>
          <w:szCs w:val="24"/>
          <w:lang w:val="en-GB"/>
        </w:rPr>
        <w:t xml:space="preserve"> forces.</w:t>
      </w:r>
      <w:r w:rsidR="000F1199" w:rsidRPr="00D9330B">
        <w:rPr>
          <w:rFonts w:ascii="Times New Roman" w:hAnsi="Times New Roman" w:cs="Times New Roman"/>
          <w:sz w:val="24"/>
          <w:szCs w:val="24"/>
          <w:lang w:val="en-GB"/>
        </w:rPr>
        <w:t xml:space="preserve"> While the</w:t>
      </w:r>
      <w:r w:rsidR="00C60B99" w:rsidRPr="00D9330B">
        <w:rPr>
          <w:rFonts w:ascii="Times New Roman" w:hAnsi="Times New Roman" w:cs="Times New Roman"/>
          <w:sz w:val="24"/>
          <w:szCs w:val="24"/>
          <w:lang w:val="en-GB"/>
        </w:rPr>
        <w:t xml:space="preserve"> pre-1980</w:t>
      </w:r>
      <w:r w:rsidR="000F1199" w:rsidRPr="00D9330B">
        <w:rPr>
          <w:rFonts w:ascii="Times New Roman" w:hAnsi="Times New Roman" w:cs="Times New Roman"/>
          <w:sz w:val="24"/>
          <w:szCs w:val="24"/>
          <w:lang w:val="en-GB"/>
        </w:rPr>
        <w:t xml:space="preserve"> expansion of the state in Argentina, Chile and Uruguay was eventually</w:t>
      </w:r>
      <w:r w:rsidR="00630EF2" w:rsidRPr="00D9330B">
        <w:rPr>
          <w:rFonts w:ascii="Times New Roman" w:hAnsi="Times New Roman" w:cs="Times New Roman"/>
          <w:sz w:val="24"/>
          <w:szCs w:val="24"/>
          <w:lang w:val="en-GB"/>
        </w:rPr>
        <w:t xml:space="preserve"> halted </w:t>
      </w:r>
      <w:r w:rsidR="000F1199" w:rsidRPr="00D9330B">
        <w:rPr>
          <w:rFonts w:ascii="Times New Roman" w:hAnsi="Times New Roman" w:cs="Times New Roman"/>
          <w:sz w:val="24"/>
          <w:szCs w:val="24"/>
          <w:lang w:val="en-GB"/>
        </w:rPr>
        <w:t>via</w:t>
      </w:r>
      <w:r w:rsidR="00630EF2" w:rsidRPr="00D9330B">
        <w:rPr>
          <w:rFonts w:ascii="Times New Roman" w:hAnsi="Times New Roman" w:cs="Times New Roman"/>
          <w:sz w:val="24"/>
          <w:szCs w:val="24"/>
          <w:lang w:val="en-GB"/>
        </w:rPr>
        <w:t xml:space="preserve"> military intervention</w:t>
      </w:r>
      <w:r w:rsidR="000F1199" w:rsidRPr="00D9330B">
        <w:rPr>
          <w:rFonts w:ascii="Times New Roman" w:hAnsi="Times New Roman" w:cs="Times New Roman"/>
          <w:sz w:val="24"/>
          <w:szCs w:val="24"/>
          <w:lang w:val="en-GB"/>
        </w:rPr>
        <w:t>, this has not happened in Brazil</w:t>
      </w:r>
      <w:r w:rsidR="00C60B99" w:rsidRPr="00D9330B">
        <w:rPr>
          <w:rFonts w:ascii="Times New Roman" w:hAnsi="Times New Roman" w:cs="Times New Roman"/>
          <w:sz w:val="24"/>
          <w:szCs w:val="24"/>
          <w:lang w:val="en-GB"/>
        </w:rPr>
        <w:t xml:space="preserve"> post-1980</w:t>
      </w:r>
      <w:r w:rsidR="00541B97">
        <w:rPr>
          <w:rFonts w:ascii="Times New Roman" w:hAnsi="Times New Roman" w:cs="Times New Roman"/>
          <w:sz w:val="24"/>
          <w:szCs w:val="24"/>
          <w:lang w:val="en-GB"/>
        </w:rPr>
        <w:t>, at least in part</w:t>
      </w:r>
      <w:r w:rsidR="000F1199" w:rsidRPr="00D9330B">
        <w:rPr>
          <w:rFonts w:ascii="Times New Roman" w:hAnsi="Times New Roman" w:cs="Times New Roman"/>
          <w:sz w:val="24"/>
          <w:szCs w:val="24"/>
          <w:lang w:val="en-GB"/>
        </w:rPr>
        <w:t xml:space="preserve"> because changes at the domestic and international level</w:t>
      </w:r>
      <w:r w:rsidR="00363761">
        <w:rPr>
          <w:rFonts w:ascii="Times New Roman" w:hAnsi="Times New Roman" w:cs="Times New Roman"/>
          <w:sz w:val="24"/>
          <w:szCs w:val="24"/>
          <w:lang w:val="en-GB"/>
        </w:rPr>
        <w:t>s</w:t>
      </w:r>
      <w:r w:rsidR="000F1199" w:rsidRPr="00D9330B">
        <w:rPr>
          <w:rFonts w:ascii="Times New Roman" w:hAnsi="Times New Roman" w:cs="Times New Roman"/>
          <w:sz w:val="24"/>
          <w:szCs w:val="24"/>
          <w:lang w:val="en-GB"/>
        </w:rPr>
        <w:t xml:space="preserve"> ha</w:t>
      </w:r>
      <w:r w:rsidR="00363761">
        <w:rPr>
          <w:rFonts w:ascii="Times New Roman" w:hAnsi="Times New Roman" w:cs="Times New Roman"/>
          <w:sz w:val="24"/>
          <w:szCs w:val="24"/>
          <w:lang w:val="en-GB"/>
        </w:rPr>
        <w:t>ve made democracy harder</w:t>
      </w:r>
      <w:r w:rsidR="000F1199" w:rsidRPr="00D9330B">
        <w:rPr>
          <w:rFonts w:ascii="Times New Roman" w:hAnsi="Times New Roman" w:cs="Times New Roman"/>
          <w:sz w:val="24"/>
          <w:szCs w:val="24"/>
          <w:lang w:val="en-GB"/>
        </w:rPr>
        <w:t xml:space="preserve"> to subvert than in earlier decades.</w:t>
      </w:r>
    </w:p>
    <w:p w:rsidR="001508D1" w:rsidRDefault="001508D1" w:rsidP="00413621">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
        <w:t>In emphasizing the role of democ</w:t>
      </w:r>
      <w:r w:rsidR="00A5382A">
        <w:rPr>
          <w:rFonts w:ascii="Times New Roman" w:hAnsi="Times New Roman" w:cs="Times New Roman"/>
          <w:sz w:val="24"/>
          <w:szCs w:val="24"/>
          <w:lang w:val="en-GB"/>
        </w:rPr>
        <w:t>racy and</w:t>
      </w:r>
      <w:r w:rsidR="00BD6370">
        <w:rPr>
          <w:rFonts w:ascii="Times New Roman" w:hAnsi="Times New Roman" w:cs="Times New Roman"/>
          <w:sz w:val="24"/>
          <w:szCs w:val="24"/>
          <w:lang w:val="en-GB"/>
        </w:rPr>
        <w:t xml:space="preserve"> class actors</w:t>
      </w:r>
      <w:r w:rsidR="003B0F25">
        <w:rPr>
          <w:rFonts w:ascii="Times New Roman" w:hAnsi="Times New Roman" w:cs="Times New Roman"/>
          <w:sz w:val="24"/>
          <w:szCs w:val="24"/>
          <w:lang w:val="en-GB"/>
        </w:rPr>
        <w:t>,</w:t>
      </w:r>
      <w:r>
        <w:rPr>
          <w:rFonts w:ascii="Times New Roman" w:hAnsi="Times New Roman" w:cs="Times New Roman"/>
          <w:sz w:val="24"/>
          <w:szCs w:val="24"/>
          <w:lang w:val="en-GB"/>
        </w:rPr>
        <w:t xml:space="preserve"> this empirical account echoes prominent themes </w:t>
      </w:r>
      <w:r w:rsidR="001F395A">
        <w:rPr>
          <w:rFonts w:ascii="Times New Roman" w:hAnsi="Times New Roman" w:cs="Times New Roman"/>
          <w:sz w:val="24"/>
          <w:szCs w:val="24"/>
          <w:lang w:val="en-GB"/>
        </w:rPr>
        <w:t>from the broader literature on taxation and public sector size.</w:t>
      </w:r>
      <w:r w:rsidR="001F1427">
        <w:rPr>
          <w:rFonts w:ascii="Times New Roman" w:hAnsi="Times New Roman" w:cs="Times New Roman"/>
          <w:sz w:val="24"/>
          <w:szCs w:val="24"/>
          <w:lang w:val="en-GB"/>
        </w:rPr>
        <w:t xml:space="preserve"> Nevertheless</w:t>
      </w:r>
      <w:r w:rsidR="001F395A">
        <w:rPr>
          <w:rFonts w:ascii="Times New Roman" w:hAnsi="Times New Roman" w:cs="Times New Roman"/>
          <w:sz w:val="24"/>
          <w:szCs w:val="24"/>
          <w:lang w:val="en-GB"/>
        </w:rPr>
        <w:t xml:space="preserve">, </w:t>
      </w:r>
      <w:r>
        <w:rPr>
          <w:rFonts w:ascii="Times New Roman" w:hAnsi="Times New Roman" w:cs="Times New Roman"/>
          <w:sz w:val="24"/>
          <w:szCs w:val="24"/>
          <w:lang w:val="en-GB"/>
        </w:rPr>
        <w:t>more than most</w:t>
      </w:r>
      <w:r w:rsidR="00A05C9D">
        <w:rPr>
          <w:rFonts w:ascii="Times New Roman" w:hAnsi="Times New Roman" w:cs="Times New Roman"/>
          <w:sz w:val="24"/>
          <w:szCs w:val="24"/>
          <w:lang w:val="en-GB"/>
        </w:rPr>
        <w:t xml:space="preserve"> other</w:t>
      </w:r>
      <w:r w:rsidR="003B0F25">
        <w:rPr>
          <w:rFonts w:ascii="Times New Roman" w:hAnsi="Times New Roman" w:cs="Times New Roman"/>
          <w:sz w:val="24"/>
          <w:szCs w:val="24"/>
          <w:lang w:val="en-GB"/>
        </w:rPr>
        <w:t xml:space="preserve"> works</w:t>
      </w:r>
      <w:r>
        <w:rPr>
          <w:rFonts w:ascii="Times New Roman" w:hAnsi="Times New Roman" w:cs="Times New Roman"/>
          <w:sz w:val="24"/>
          <w:szCs w:val="24"/>
          <w:lang w:val="en-GB"/>
        </w:rPr>
        <w:t>, it underscores the contingent and dynamic character of the causal relationships that tie these variables to taxation.</w:t>
      </w:r>
      <w:r w:rsidR="00413621">
        <w:rPr>
          <w:rFonts w:ascii="Times New Roman" w:hAnsi="Times New Roman" w:cs="Times New Roman"/>
          <w:sz w:val="24"/>
          <w:szCs w:val="24"/>
          <w:lang w:val="en-GB"/>
        </w:rPr>
        <w:t xml:space="preserve"> It shows, for example, that popular</w:t>
      </w:r>
      <w:r w:rsidR="00500839">
        <w:rPr>
          <w:rFonts w:ascii="Times New Roman" w:hAnsi="Times New Roman" w:cs="Times New Roman"/>
          <w:sz w:val="24"/>
          <w:szCs w:val="24"/>
          <w:lang w:val="en-GB"/>
        </w:rPr>
        <w:t xml:space="preserve"> sector</w:t>
      </w:r>
      <w:r w:rsidR="00413621">
        <w:rPr>
          <w:rFonts w:ascii="Times New Roman" w:hAnsi="Times New Roman" w:cs="Times New Roman"/>
          <w:sz w:val="24"/>
          <w:szCs w:val="24"/>
          <w:lang w:val="en-GB"/>
        </w:rPr>
        <w:t xml:space="preserve"> o</w:t>
      </w:r>
      <w:r w:rsidR="00A05C9D">
        <w:rPr>
          <w:rFonts w:ascii="Times New Roman" w:hAnsi="Times New Roman" w:cs="Times New Roman"/>
          <w:sz w:val="24"/>
          <w:szCs w:val="24"/>
          <w:lang w:val="en-GB"/>
        </w:rPr>
        <w:t>rganisational strength,</w:t>
      </w:r>
      <w:r w:rsidR="005E3EC2">
        <w:rPr>
          <w:rFonts w:ascii="Times New Roman" w:hAnsi="Times New Roman" w:cs="Times New Roman"/>
          <w:sz w:val="24"/>
          <w:szCs w:val="24"/>
          <w:lang w:val="en-GB"/>
        </w:rPr>
        <w:t xml:space="preserve"> which has often been seen as promoting higher taxation and spending</w:t>
      </w:r>
      <w:r w:rsidR="005E3EC2">
        <w:rPr>
          <w:rStyle w:val="FootnoteReference"/>
          <w:rFonts w:ascii="Times New Roman" w:hAnsi="Times New Roman" w:cs="Times New Roman"/>
          <w:sz w:val="24"/>
          <w:szCs w:val="24"/>
          <w:lang w:val="en-GB"/>
        </w:rPr>
        <w:footnoteReference w:id="108"/>
      </w:r>
      <w:r w:rsidR="00413621">
        <w:rPr>
          <w:rFonts w:ascii="Times New Roman" w:hAnsi="Times New Roman" w:cs="Times New Roman"/>
          <w:sz w:val="24"/>
          <w:szCs w:val="24"/>
          <w:lang w:val="en-GB"/>
        </w:rPr>
        <w:t>,</w:t>
      </w:r>
      <w:r w:rsidR="00A05C9D">
        <w:rPr>
          <w:rFonts w:ascii="Times New Roman" w:hAnsi="Times New Roman" w:cs="Times New Roman"/>
          <w:sz w:val="24"/>
          <w:szCs w:val="24"/>
          <w:lang w:val="en-GB"/>
        </w:rPr>
        <w:t xml:space="preserve"> may actually work against state expansion in situations in which security concerns undercut </w:t>
      </w:r>
      <w:r w:rsidR="005861A9">
        <w:rPr>
          <w:rFonts w:ascii="Times New Roman" w:hAnsi="Times New Roman" w:cs="Times New Roman"/>
          <w:sz w:val="24"/>
          <w:szCs w:val="24"/>
          <w:lang w:val="en-GB"/>
        </w:rPr>
        <w:t xml:space="preserve">the political </w:t>
      </w:r>
      <w:r w:rsidR="00A05C9D">
        <w:rPr>
          <w:rFonts w:ascii="Times New Roman" w:hAnsi="Times New Roman" w:cs="Times New Roman"/>
          <w:sz w:val="24"/>
          <w:szCs w:val="24"/>
          <w:lang w:val="en-GB"/>
        </w:rPr>
        <w:t>elite</w:t>
      </w:r>
      <w:r w:rsidR="005861A9">
        <w:rPr>
          <w:rFonts w:ascii="Times New Roman" w:hAnsi="Times New Roman" w:cs="Times New Roman"/>
          <w:sz w:val="24"/>
          <w:szCs w:val="24"/>
          <w:lang w:val="en-GB"/>
        </w:rPr>
        <w:t>’s</w:t>
      </w:r>
      <w:r w:rsidR="00A05C9D">
        <w:rPr>
          <w:rFonts w:ascii="Times New Roman" w:hAnsi="Times New Roman" w:cs="Times New Roman"/>
          <w:sz w:val="24"/>
          <w:szCs w:val="24"/>
          <w:lang w:val="en-GB"/>
        </w:rPr>
        <w:t xml:space="preserve"> commitment to democracy. Conversely, under these same conditions, a relatively disorganis</w:t>
      </w:r>
      <w:r w:rsidR="006E273D">
        <w:rPr>
          <w:rFonts w:ascii="Times New Roman" w:hAnsi="Times New Roman" w:cs="Times New Roman"/>
          <w:sz w:val="24"/>
          <w:szCs w:val="24"/>
          <w:lang w:val="en-GB"/>
        </w:rPr>
        <w:t>ed</w:t>
      </w:r>
      <w:r w:rsidR="005E3EC2">
        <w:rPr>
          <w:rFonts w:ascii="Times New Roman" w:hAnsi="Times New Roman" w:cs="Times New Roman"/>
          <w:sz w:val="24"/>
          <w:szCs w:val="24"/>
          <w:lang w:val="en-GB"/>
        </w:rPr>
        <w:t xml:space="preserve"> and politically malleable</w:t>
      </w:r>
      <w:r w:rsidR="00A05C9D">
        <w:rPr>
          <w:rFonts w:ascii="Times New Roman" w:hAnsi="Times New Roman" w:cs="Times New Roman"/>
          <w:sz w:val="24"/>
          <w:szCs w:val="24"/>
          <w:lang w:val="en-GB"/>
        </w:rPr>
        <w:t xml:space="preserve"> popular sector may facilitate the</w:t>
      </w:r>
      <w:r w:rsidR="00BD6370">
        <w:rPr>
          <w:rFonts w:ascii="Times New Roman" w:hAnsi="Times New Roman" w:cs="Times New Roman"/>
          <w:sz w:val="24"/>
          <w:szCs w:val="24"/>
          <w:lang w:val="en-GB"/>
        </w:rPr>
        <w:t xml:space="preserve"> growth of taxation</w:t>
      </w:r>
      <w:r w:rsidR="00A05C9D">
        <w:rPr>
          <w:rFonts w:ascii="Times New Roman" w:hAnsi="Times New Roman" w:cs="Times New Roman"/>
          <w:sz w:val="24"/>
          <w:szCs w:val="24"/>
          <w:lang w:val="en-GB"/>
        </w:rPr>
        <w:t xml:space="preserve"> by reassuring </w:t>
      </w:r>
      <w:r w:rsidR="005861A9">
        <w:rPr>
          <w:rFonts w:ascii="Times New Roman" w:hAnsi="Times New Roman" w:cs="Times New Roman"/>
          <w:sz w:val="24"/>
          <w:szCs w:val="24"/>
          <w:lang w:val="en-GB"/>
        </w:rPr>
        <w:t xml:space="preserve">economic </w:t>
      </w:r>
      <w:r w:rsidR="00A05C9D">
        <w:rPr>
          <w:rFonts w:ascii="Times New Roman" w:hAnsi="Times New Roman" w:cs="Times New Roman"/>
          <w:sz w:val="24"/>
          <w:szCs w:val="24"/>
          <w:lang w:val="en-GB"/>
        </w:rPr>
        <w:t xml:space="preserve">elites that </w:t>
      </w:r>
      <w:r w:rsidR="00BD6370">
        <w:rPr>
          <w:rFonts w:ascii="Times New Roman" w:hAnsi="Times New Roman" w:cs="Times New Roman"/>
          <w:sz w:val="24"/>
          <w:szCs w:val="24"/>
          <w:lang w:val="en-GB"/>
        </w:rPr>
        <w:t>these resources will not</w:t>
      </w:r>
      <w:r w:rsidR="001C7C1C">
        <w:rPr>
          <w:rFonts w:ascii="Times New Roman" w:hAnsi="Times New Roman" w:cs="Times New Roman"/>
          <w:sz w:val="24"/>
          <w:szCs w:val="24"/>
          <w:lang w:val="en-GB"/>
        </w:rPr>
        <w:t xml:space="preserve"> be used in ways that harm</w:t>
      </w:r>
      <w:r w:rsidR="00BD6370">
        <w:rPr>
          <w:rFonts w:ascii="Times New Roman" w:hAnsi="Times New Roman" w:cs="Times New Roman"/>
          <w:sz w:val="24"/>
          <w:szCs w:val="24"/>
          <w:lang w:val="en-GB"/>
        </w:rPr>
        <w:t xml:space="preserve"> their interests.</w:t>
      </w:r>
    </w:p>
    <w:p w:rsidR="008B7C9A" w:rsidRPr="007D04CC" w:rsidRDefault="005E3EC2" w:rsidP="007D04CC">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Similarly</w:t>
      </w:r>
      <w:r w:rsidR="00BD6370">
        <w:rPr>
          <w:rFonts w:ascii="Times New Roman" w:hAnsi="Times New Roman" w:cs="Times New Roman"/>
          <w:sz w:val="24"/>
          <w:szCs w:val="24"/>
          <w:lang w:val="en-GB"/>
        </w:rPr>
        <w:t>,</w:t>
      </w:r>
      <w:r w:rsidR="001C7C1C">
        <w:rPr>
          <w:rFonts w:ascii="Times New Roman" w:hAnsi="Times New Roman" w:cs="Times New Roman"/>
          <w:sz w:val="24"/>
          <w:szCs w:val="24"/>
          <w:lang w:val="en-GB"/>
        </w:rPr>
        <w:t xml:space="preserve"> in contrast to some recent scholarship</w:t>
      </w:r>
      <w:r w:rsidR="00BD6370">
        <w:rPr>
          <w:rFonts w:ascii="Times New Roman" w:hAnsi="Times New Roman" w:cs="Times New Roman"/>
          <w:sz w:val="24"/>
          <w:szCs w:val="24"/>
          <w:lang w:val="en-GB"/>
        </w:rPr>
        <w:t>,</w:t>
      </w:r>
      <w:r w:rsidR="00787327">
        <w:rPr>
          <w:rStyle w:val="FootnoteReference"/>
          <w:rFonts w:ascii="Times New Roman" w:hAnsi="Times New Roman" w:cs="Times New Roman"/>
          <w:sz w:val="24"/>
          <w:szCs w:val="24"/>
          <w:lang w:val="en-GB"/>
        </w:rPr>
        <w:footnoteReference w:id="109"/>
      </w:r>
      <w:r w:rsidR="00BD6370">
        <w:rPr>
          <w:rFonts w:ascii="Times New Roman" w:hAnsi="Times New Roman" w:cs="Times New Roman"/>
          <w:sz w:val="24"/>
          <w:szCs w:val="24"/>
          <w:lang w:val="en-GB"/>
        </w:rPr>
        <w:t xml:space="preserve"> the paper</w:t>
      </w:r>
      <w:r w:rsidR="002547A6">
        <w:rPr>
          <w:rFonts w:ascii="Times New Roman" w:hAnsi="Times New Roman" w:cs="Times New Roman"/>
          <w:sz w:val="24"/>
          <w:szCs w:val="24"/>
          <w:lang w:val="en-GB"/>
        </w:rPr>
        <w:t xml:space="preserve"> underscores</w:t>
      </w:r>
      <w:r w:rsidR="00BD6370">
        <w:rPr>
          <w:rFonts w:ascii="Times New Roman" w:hAnsi="Times New Roman" w:cs="Times New Roman"/>
          <w:sz w:val="24"/>
          <w:szCs w:val="24"/>
          <w:lang w:val="en-GB"/>
        </w:rPr>
        <w:t xml:space="preserve"> that </w:t>
      </w:r>
      <w:r w:rsidR="002547A6">
        <w:rPr>
          <w:rFonts w:ascii="Times New Roman" w:hAnsi="Times New Roman" w:cs="Times New Roman"/>
          <w:sz w:val="24"/>
          <w:szCs w:val="24"/>
          <w:lang w:val="en-GB"/>
        </w:rPr>
        <w:t>the preferences of business elites regarding taxation c</w:t>
      </w:r>
      <w:r w:rsidR="00211851">
        <w:rPr>
          <w:rFonts w:ascii="Times New Roman" w:hAnsi="Times New Roman" w:cs="Times New Roman"/>
          <w:sz w:val="24"/>
          <w:szCs w:val="24"/>
          <w:lang w:val="en-GB"/>
        </w:rPr>
        <w:t>an vary</w:t>
      </w:r>
      <w:r w:rsidR="00500839">
        <w:rPr>
          <w:rFonts w:ascii="Times New Roman" w:hAnsi="Times New Roman" w:cs="Times New Roman"/>
          <w:sz w:val="24"/>
          <w:szCs w:val="24"/>
          <w:lang w:val="en-GB"/>
        </w:rPr>
        <w:t xml:space="preserve"> substantially</w:t>
      </w:r>
      <w:r>
        <w:rPr>
          <w:rFonts w:ascii="Times New Roman" w:hAnsi="Times New Roman" w:cs="Times New Roman"/>
          <w:sz w:val="24"/>
          <w:szCs w:val="24"/>
          <w:lang w:val="en-GB"/>
        </w:rPr>
        <w:t xml:space="preserve"> in response to specific</w:t>
      </w:r>
      <w:r w:rsidR="00211851">
        <w:rPr>
          <w:rFonts w:ascii="Times New Roman" w:hAnsi="Times New Roman" w:cs="Times New Roman"/>
          <w:sz w:val="24"/>
          <w:szCs w:val="24"/>
          <w:lang w:val="en-GB"/>
        </w:rPr>
        <w:t xml:space="preserve"> historical trajectories</w:t>
      </w:r>
      <w:r w:rsidR="001C7C1C">
        <w:rPr>
          <w:rFonts w:ascii="Times New Roman" w:hAnsi="Times New Roman" w:cs="Times New Roman"/>
          <w:sz w:val="24"/>
          <w:szCs w:val="24"/>
          <w:lang w:val="en-GB"/>
        </w:rPr>
        <w:t>. In particular</w:t>
      </w:r>
      <w:r w:rsidR="00500839">
        <w:rPr>
          <w:rFonts w:ascii="Times New Roman" w:hAnsi="Times New Roman" w:cs="Times New Roman"/>
          <w:sz w:val="24"/>
          <w:szCs w:val="24"/>
          <w:lang w:val="en-GB"/>
        </w:rPr>
        <w:t>, it demonstrates that the</w:t>
      </w:r>
      <w:r w:rsidR="002547A6">
        <w:rPr>
          <w:rFonts w:ascii="Times New Roman" w:hAnsi="Times New Roman" w:cs="Times New Roman"/>
          <w:sz w:val="24"/>
          <w:szCs w:val="24"/>
          <w:lang w:val="en-GB"/>
        </w:rPr>
        <w:t xml:space="preserve"> intensity of their resistance to tax increases</w:t>
      </w:r>
      <w:r w:rsidR="00BD6370">
        <w:rPr>
          <w:rFonts w:ascii="Times New Roman" w:hAnsi="Times New Roman" w:cs="Times New Roman"/>
          <w:sz w:val="24"/>
          <w:szCs w:val="24"/>
          <w:lang w:val="en-GB"/>
        </w:rPr>
        <w:t xml:space="preserve"> depends</w:t>
      </w:r>
      <w:r w:rsidR="006E273D">
        <w:rPr>
          <w:rFonts w:ascii="Times New Roman" w:hAnsi="Times New Roman" w:cs="Times New Roman"/>
          <w:sz w:val="24"/>
          <w:szCs w:val="24"/>
          <w:lang w:val="en-GB"/>
        </w:rPr>
        <w:t xml:space="preserve"> in part</w:t>
      </w:r>
      <w:r w:rsidR="00BD6370">
        <w:rPr>
          <w:rFonts w:ascii="Times New Roman" w:hAnsi="Times New Roman" w:cs="Times New Roman"/>
          <w:sz w:val="24"/>
          <w:szCs w:val="24"/>
          <w:lang w:val="en-GB"/>
        </w:rPr>
        <w:t xml:space="preserve"> on historically-constructed perceptions about the character and motives of the state.</w:t>
      </w:r>
      <w:r>
        <w:rPr>
          <w:rFonts w:ascii="Times New Roman" w:hAnsi="Times New Roman" w:cs="Times New Roman"/>
          <w:sz w:val="24"/>
          <w:szCs w:val="24"/>
          <w:lang w:val="en-GB"/>
        </w:rPr>
        <w:t xml:space="preserve"> A state that has traditionally</w:t>
      </w:r>
      <w:r w:rsidR="006E273D">
        <w:rPr>
          <w:rFonts w:ascii="Times New Roman" w:hAnsi="Times New Roman" w:cs="Times New Roman"/>
          <w:sz w:val="24"/>
          <w:szCs w:val="24"/>
          <w:lang w:val="en-GB"/>
        </w:rPr>
        <w:t xml:space="preserve"> served the interests of business elites may be given the benefit of the doubt when it makes demands for additional resources. Even increased direct taxation may be tolerated</w:t>
      </w:r>
      <w:r w:rsidR="007D04CC">
        <w:rPr>
          <w:rFonts w:ascii="Times New Roman" w:hAnsi="Times New Roman" w:cs="Times New Roman"/>
          <w:sz w:val="24"/>
          <w:szCs w:val="24"/>
          <w:lang w:val="en-GB"/>
        </w:rPr>
        <w:t>, as it was in Brazil during the 1960s,</w:t>
      </w:r>
      <w:r w:rsidR="006E273D">
        <w:rPr>
          <w:rFonts w:ascii="Times New Roman" w:hAnsi="Times New Roman" w:cs="Times New Roman"/>
          <w:sz w:val="24"/>
          <w:szCs w:val="24"/>
          <w:lang w:val="en-GB"/>
        </w:rPr>
        <w:t xml:space="preserve"> if it is viewed as part of a broader project aimed at promoting investment and wealth creation.</w:t>
      </w:r>
      <w:r w:rsidR="00D55DF8">
        <w:rPr>
          <w:rFonts w:ascii="Times New Roman" w:hAnsi="Times New Roman" w:cs="Times New Roman"/>
          <w:sz w:val="24"/>
          <w:szCs w:val="24"/>
          <w:lang w:val="en-GB"/>
        </w:rPr>
        <w:t xml:space="preserve"> In contrast, where the state has turned aggressively against the private sector (as in Chile under Allende</w:t>
      </w:r>
      <w:r w:rsidR="002547A6">
        <w:rPr>
          <w:rFonts w:ascii="Times New Roman" w:hAnsi="Times New Roman" w:cs="Times New Roman"/>
          <w:sz w:val="24"/>
          <w:szCs w:val="24"/>
          <w:lang w:val="en-GB"/>
        </w:rPr>
        <w:t xml:space="preserve">) </w:t>
      </w:r>
      <w:r w:rsidR="00D55DF8">
        <w:rPr>
          <w:rFonts w:ascii="Times New Roman" w:hAnsi="Times New Roman" w:cs="Times New Roman"/>
          <w:sz w:val="24"/>
          <w:szCs w:val="24"/>
          <w:lang w:val="en-GB"/>
        </w:rPr>
        <w:t>elite</w:t>
      </w:r>
      <w:r w:rsidR="002547A6">
        <w:rPr>
          <w:rFonts w:ascii="Times New Roman" w:hAnsi="Times New Roman" w:cs="Times New Roman"/>
          <w:sz w:val="24"/>
          <w:szCs w:val="24"/>
          <w:lang w:val="en-GB"/>
        </w:rPr>
        <w:t>s</w:t>
      </w:r>
      <w:r w:rsidR="006E273D">
        <w:rPr>
          <w:rFonts w:ascii="Times New Roman" w:hAnsi="Times New Roman" w:cs="Times New Roman"/>
          <w:sz w:val="24"/>
          <w:szCs w:val="24"/>
          <w:lang w:val="en-GB"/>
        </w:rPr>
        <w:t xml:space="preserve"> </w:t>
      </w:r>
      <w:r w:rsidR="002547A6">
        <w:rPr>
          <w:rFonts w:ascii="Times New Roman" w:hAnsi="Times New Roman" w:cs="Times New Roman"/>
          <w:sz w:val="24"/>
          <w:szCs w:val="24"/>
          <w:lang w:val="en-GB"/>
        </w:rPr>
        <w:t>may develop an abiding</w:t>
      </w:r>
      <w:r w:rsidR="00D55DF8">
        <w:rPr>
          <w:rFonts w:ascii="Times New Roman" w:hAnsi="Times New Roman" w:cs="Times New Roman"/>
          <w:sz w:val="24"/>
          <w:szCs w:val="24"/>
          <w:lang w:val="en-GB"/>
        </w:rPr>
        <w:t xml:space="preserve"> aversion to virtually all forms of state intervention, including taxation.</w:t>
      </w:r>
    </w:p>
    <w:sectPr w:rsidR="008B7C9A" w:rsidRPr="007D04CC" w:rsidSect="00481BC0">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36" w:rsidRDefault="00634936" w:rsidP="00A13785">
      <w:pPr>
        <w:spacing w:after="0" w:line="240" w:lineRule="auto"/>
      </w:pPr>
      <w:r>
        <w:separator/>
      </w:r>
    </w:p>
  </w:endnote>
  <w:endnote w:type="continuationSeparator" w:id="0">
    <w:p w:rsidR="00634936" w:rsidRDefault="00634936" w:rsidP="00A1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933065"/>
      <w:docPartObj>
        <w:docPartGallery w:val="Page Numbers (Bottom of Page)"/>
        <w:docPartUnique/>
      </w:docPartObj>
    </w:sdtPr>
    <w:sdtEndPr>
      <w:rPr>
        <w:noProof/>
      </w:rPr>
    </w:sdtEndPr>
    <w:sdtContent>
      <w:p w:rsidR="00C46EB0" w:rsidRDefault="00C46EB0">
        <w:pPr>
          <w:pStyle w:val="Footer"/>
          <w:jc w:val="center"/>
        </w:pPr>
        <w:r>
          <w:fldChar w:fldCharType="begin"/>
        </w:r>
        <w:r>
          <w:instrText xml:space="preserve"> PAGE   \* MERGEFORMAT </w:instrText>
        </w:r>
        <w:r>
          <w:fldChar w:fldCharType="separate"/>
        </w:r>
        <w:r w:rsidR="00A30601">
          <w:rPr>
            <w:noProof/>
          </w:rPr>
          <w:t>3</w:t>
        </w:r>
        <w:r>
          <w:rPr>
            <w:noProof/>
          </w:rPr>
          <w:fldChar w:fldCharType="end"/>
        </w:r>
      </w:p>
    </w:sdtContent>
  </w:sdt>
  <w:p w:rsidR="00C46EB0" w:rsidRDefault="00481BC0" w:rsidP="00481BC0">
    <w:pPr>
      <w:pStyle w:val="Footer"/>
      <w:tabs>
        <w:tab w:val="clear" w:pos="4680"/>
        <w:tab w:val="clear" w:pos="9360"/>
        <w:tab w:val="left" w:pos="18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36" w:rsidRDefault="00634936" w:rsidP="00A13785">
      <w:pPr>
        <w:spacing w:after="0" w:line="240" w:lineRule="auto"/>
      </w:pPr>
      <w:r>
        <w:separator/>
      </w:r>
    </w:p>
  </w:footnote>
  <w:footnote w:type="continuationSeparator" w:id="0">
    <w:p w:rsidR="00634936" w:rsidRDefault="00634936" w:rsidP="00A13785">
      <w:pPr>
        <w:spacing w:after="0" w:line="240" w:lineRule="auto"/>
      </w:pPr>
      <w:r>
        <w:continuationSeparator/>
      </w:r>
    </w:p>
  </w:footnote>
  <w:footnote w:id="1">
    <w:p w:rsidR="00C46EB0" w:rsidRPr="00C46EB0" w:rsidRDefault="00C46EB0">
      <w:pPr>
        <w:pStyle w:val="FootnoteText"/>
        <w:rPr>
          <w:rFonts w:ascii="Times New Roman" w:hAnsi="Times New Roman" w:cs="Times New Roman"/>
          <w:sz w:val="24"/>
          <w:szCs w:val="24"/>
        </w:rPr>
      </w:pPr>
      <w:r w:rsidRPr="00C46EB0">
        <w:rPr>
          <w:rStyle w:val="FootnoteReference"/>
          <w:rFonts w:ascii="Times New Roman" w:hAnsi="Times New Roman" w:cs="Times New Roman"/>
          <w:sz w:val="24"/>
          <w:szCs w:val="24"/>
        </w:rPr>
        <w:footnoteRef/>
      </w:r>
      <w:r w:rsidRPr="00C46EB0">
        <w:rPr>
          <w:rFonts w:ascii="Times New Roman" w:hAnsi="Times New Roman" w:cs="Times New Roman"/>
          <w:sz w:val="24"/>
          <w:szCs w:val="24"/>
        </w:rPr>
        <w:t xml:space="preserve"> I would like to thank José Roberto </w:t>
      </w:r>
      <w:proofErr w:type="spellStart"/>
      <w:r w:rsidRPr="00C46EB0">
        <w:rPr>
          <w:rFonts w:ascii="Times New Roman" w:hAnsi="Times New Roman" w:cs="Times New Roman"/>
          <w:sz w:val="24"/>
          <w:szCs w:val="24"/>
        </w:rPr>
        <w:t>Afonso</w:t>
      </w:r>
      <w:proofErr w:type="spellEnd"/>
      <w:r w:rsidRPr="00C46EB0">
        <w:rPr>
          <w:rFonts w:ascii="Times New Roman" w:hAnsi="Times New Roman" w:cs="Times New Roman"/>
          <w:sz w:val="24"/>
          <w:szCs w:val="24"/>
        </w:rPr>
        <w:t xml:space="preserve">, Alberto </w:t>
      </w:r>
      <w:proofErr w:type="spellStart"/>
      <w:r w:rsidRPr="00C46EB0">
        <w:rPr>
          <w:rFonts w:ascii="Times New Roman" w:hAnsi="Times New Roman" w:cs="Times New Roman"/>
          <w:sz w:val="24"/>
          <w:szCs w:val="24"/>
        </w:rPr>
        <w:t>Barreix</w:t>
      </w:r>
      <w:proofErr w:type="spellEnd"/>
      <w:r w:rsidRPr="00C46EB0">
        <w:rPr>
          <w:rFonts w:ascii="Times New Roman" w:hAnsi="Times New Roman" w:cs="Times New Roman"/>
          <w:sz w:val="24"/>
          <w:szCs w:val="24"/>
        </w:rPr>
        <w:t xml:space="preserve">, Oscar </w:t>
      </w:r>
      <w:proofErr w:type="spellStart"/>
      <w:r w:rsidRPr="00C46EB0">
        <w:rPr>
          <w:rFonts w:ascii="Times New Roman" w:hAnsi="Times New Roman" w:cs="Times New Roman"/>
          <w:sz w:val="24"/>
          <w:szCs w:val="24"/>
        </w:rPr>
        <w:t>Cetrángolo</w:t>
      </w:r>
      <w:proofErr w:type="spellEnd"/>
      <w:r w:rsidRPr="00C46EB0">
        <w:rPr>
          <w:rFonts w:ascii="Times New Roman" w:hAnsi="Times New Roman" w:cs="Times New Roman"/>
          <w:sz w:val="24"/>
          <w:szCs w:val="24"/>
        </w:rPr>
        <w:t xml:space="preserve">, Ulises </w:t>
      </w:r>
      <w:proofErr w:type="spellStart"/>
      <w:r w:rsidRPr="00C46EB0">
        <w:rPr>
          <w:rFonts w:ascii="Times New Roman" w:hAnsi="Times New Roman" w:cs="Times New Roman"/>
          <w:sz w:val="24"/>
          <w:szCs w:val="24"/>
        </w:rPr>
        <w:t>García</w:t>
      </w:r>
      <w:proofErr w:type="spellEnd"/>
      <w:r w:rsidRPr="00C46EB0">
        <w:rPr>
          <w:rFonts w:ascii="Times New Roman" w:hAnsi="Times New Roman" w:cs="Times New Roman"/>
          <w:sz w:val="24"/>
          <w:szCs w:val="24"/>
        </w:rPr>
        <w:t xml:space="preserve"> Repetto, Juan Carlos Gómez </w:t>
      </w:r>
      <w:proofErr w:type="spellStart"/>
      <w:r w:rsidRPr="00C46EB0">
        <w:rPr>
          <w:rFonts w:ascii="Times New Roman" w:hAnsi="Times New Roman" w:cs="Times New Roman"/>
          <w:sz w:val="24"/>
          <w:szCs w:val="24"/>
        </w:rPr>
        <w:t>Sabaini</w:t>
      </w:r>
      <w:proofErr w:type="spellEnd"/>
      <w:r w:rsidRPr="00C46EB0">
        <w:rPr>
          <w:rFonts w:ascii="Times New Roman" w:hAnsi="Times New Roman" w:cs="Times New Roman"/>
          <w:sz w:val="24"/>
          <w:szCs w:val="24"/>
        </w:rPr>
        <w:t xml:space="preserve">, Michael </w:t>
      </w:r>
      <w:proofErr w:type="spellStart"/>
      <w:r w:rsidRPr="00C46EB0">
        <w:rPr>
          <w:rFonts w:ascii="Times New Roman" w:hAnsi="Times New Roman" w:cs="Times New Roman"/>
          <w:sz w:val="24"/>
          <w:szCs w:val="24"/>
        </w:rPr>
        <w:t>Hanni</w:t>
      </w:r>
      <w:proofErr w:type="spellEnd"/>
      <w:r w:rsidRPr="00C46EB0">
        <w:rPr>
          <w:rFonts w:ascii="Times New Roman" w:hAnsi="Times New Roman" w:cs="Times New Roman"/>
          <w:sz w:val="24"/>
          <w:szCs w:val="24"/>
        </w:rPr>
        <w:t xml:space="preserve"> and </w:t>
      </w:r>
      <w:proofErr w:type="spellStart"/>
      <w:r w:rsidRPr="00C46EB0">
        <w:rPr>
          <w:rFonts w:ascii="Times New Roman" w:hAnsi="Times New Roman" w:cs="Times New Roman"/>
          <w:sz w:val="24"/>
          <w:szCs w:val="24"/>
        </w:rPr>
        <w:t>Fabrício</w:t>
      </w:r>
      <w:proofErr w:type="spellEnd"/>
      <w:r w:rsidRPr="00C46EB0">
        <w:rPr>
          <w:rFonts w:ascii="Times New Roman" w:hAnsi="Times New Roman" w:cs="Times New Roman"/>
          <w:sz w:val="24"/>
          <w:szCs w:val="24"/>
        </w:rPr>
        <w:t xml:space="preserve"> Augusto de Oliveira for their assistance with gathering and interpreting tax data, and I would also like to thank </w:t>
      </w:r>
      <w:proofErr w:type="spellStart"/>
      <w:r w:rsidRPr="00C46EB0">
        <w:rPr>
          <w:rFonts w:ascii="Times New Roman" w:hAnsi="Times New Roman" w:cs="Times New Roman"/>
          <w:sz w:val="24"/>
          <w:szCs w:val="24"/>
        </w:rPr>
        <w:t>Fabrício</w:t>
      </w:r>
      <w:proofErr w:type="spellEnd"/>
      <w:r w:rsidRPr="00C46EB0">
        <w:rPr>
          <w:rFonts w:ascii="Times New Roman" w:hAnsi="Times New Roman" w:cs="Times New Roman"/>
          <w:sz w:val="24"/>
          <w:szCs w:val="24"/>
        </w:rPr>
        <w:t xml:space="preserve">, Matthew Carnes, Evelyne Huber, and Indira Palacios-Valladares, as well as the participants in the 2011 seminar on “Public Policy: Brazil in Comparative Perspective” at the </w:t>
      </w:r>
      <w:proofErr w:type="spellStart"/>
      <w:r w:rsidRPr="00C46EB0">
        <w:rPr>
          <w:rFonts w:ascii="Times New Roman" w:hAnsi="Times New Roman" w:cs="Times New Roman"/>
          <w:sz w:val="24"/>
          <w:szCs w:val="24"/>
        </w:rPr>
        <w:t>Fundação</w:t>
      </w:r>
      <w:proofErr w:type="spellEnd"/>
      <w:r w:rsidRPr="00C46EB0">
        <w:rPr>
          <w:rFonts w:ascii="Times New Roman" w:hAnsi="Times New Roman" w:cs="Times New Roman"/>
          <w:sz w:val="24"/>
          <w:szCs w:val="24"/>
        </w:rPr>
        <w:t xml:space="preserve"> </w:t>
      </w:r>
      <w:proofErr w:type="spellStart"/>
      <w:r w:rsidRPr="00C46EB0">
        <w:rPr>
          <w:rFonts w:ascii="Times New Roman" w:hAnsi="Times New Roman" w:cs="Times New Roman"/>
          <w:sz w:val="24"/>
          <w:szCs w:val="24"/>
        </w:rPr>
        <w:t>Getúlio</w:t>
      </w:r>
      <w:proofErr w:type="spellEnd"/>
      <w:r w:rsidRPr="00C46EB0">
        <w:rPr>
          <w:rFonts w:ascii="Times New Roman" w:hAnsi="Times New Roman" w:cs="Times New Roman"/>
          <w:sz w:val="24"/>
          <w:szCs w:val="24"/>
        </w:rPr>
        <w:t xml:space="preserve"> Vargas, for their comments on earlier versions of the paper. I have also benefitted from comments that Gustavo Flores-</w:t>
      </w:r>
      <w:proofErr w:type="spellStart"/>
      <w:r w:rsidRPr="00C46EB0">
        <w:rPr>
          <w:rFonts w:ascii="Times New Roman" w:hAnsi="Times New Roman" w:cs="Times New Roman"/>
          <w:sz w:val="24"/>
          <w:szCs w:val="24"/>
        </w:rPr>
        <w:t>Macías</w:t>
      </w:r>
      <w:proofErr w:type="spellEnd"/>
      <w:r w:rsidRPr="00C46EB0">
        <w:rPr>
          <w:rFonts w:ascii="Times New Roman" w:hAnsi="Times New Roman" w:cs="Times New Roman"/>
          <w:sz w:val="24"/>
          <w:szCs w:val="24"/>
        </w:rPr>
        <w:t>, Jim Mahon and Aaron Schneider have provided on related papers. Finally, I would like to express my gratitude to Margaret Petersen and Stephen Rowe for their diligent research assistance.</w:t>
      </w:r>
    </w:p>
  </w:footnote>
  <w:footnote w:id="2">
    <w:p w:rsidR="00C46EB0" w:rsidRPr="00926EF3" w:rsidRDefault="00C46EB0" w:rsidP="00713A2D">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Unless otherwise noted, tax data are from CEPALSTAT, the database of the United Nations Economic Commission for Latin America and the Caribbean (ECLAC), and the Latin America and the Caribbean Fiscal Burden Database, compiled by the Inter-American Centre of Tax Administration (CIAT) and the Inter-American Develo</w:t>
      </w:r>
      <w:r>
        <w:rPr>
          <w:rFonts w:ascii="Times New Roman" w:hAnsi="Times New Roman" w:cs="Times New Roman"/>
          <w:sz w:val="24"/>
          <w:szCs w:val="24"/>
          <w:lang w:val="en-GB"/>
        </w:rPr>
        <w:t xml:space="preserve">pment Bank (IDB). The OECD figure is </w:t>
      </w:r>
      <w:r w:rsidRPr="00926EF3">
        <w:rPr>
          <w:rFonts w:ascii="Times New Roman" w:hAnsi="Times New Roman" w:cs="Times New Roman"/>
          <w:sz w:val="24"/>
          <w:szCs w:val="24"/>
          <w:lang w:val="en-GB"/>
        </w:rPr>
        <w:t xml:space="preserve">from </w:t>
      </w:r>
      <w:r w:rsidRPr="00602530">
        <w:rPr>
          <w:rFonts w:ascii="Times New Roman" w:hAnsi="Times New Roman" w:cs="Times New Roman"/>
          <w:sz w:val="24"/>
          <w:szCs w:val="24"/>
          <w:lang w:val="en-GB"/>
        </w:rPr>
        <w:t>OECD</w:t>
      </w:r>
      <w:r>
        <w:rPr>
          <w:rFonts w:ascii="Times New Roman" w:hAnsi="Times New Roman" w:cs="Times New Roman"/>
          <w:sz w:val="24"/>
          <w:szCs w:val="24"/>
          <w:lang w:val="en-GB"/>
        </w:rPr>
        <w:t>,</w:t>
      </w:r>
      <w:r w:rsidRPr="00926EF3">
        <w:rPr>
          <w:rFonts w:ascii="Times New Roman" w:hAnsi="Times New Roman" w:cs="Times New Roman"/>
          <w:i/>
          <w:sz w:val="24"/>
          <w:szCs w:val="24"/>
          <w:lang w:val="en-GB"/>
        </w:rPr>
        <w:t xml:space="preserve"> Revenue Statistics, 1965-2012</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2013</w:t>
      </w:r>
      <w:proofErr w:type="gramEnd"/>
      <w:r w:rsidRPr="00926EF3">
        <w:rPr>
          <w:rFonts w:ascii="Times New Roman" w:hAnsi="Times New Roman" w:cs="Times New Roman"/>
          <w:sz w:val="24"/>
          <w:szCs w:val="24"/>
          <w:lang w:val="en-GB"/>
        </w:rPr>
        <w:t>.</w:t>
      </w:r>
    </w:p>
  </w:footnote>
  <w:footnote w:id="3">
    <w:p w:rsidR="00C46EB0" w:rsidRPr="00926EF3" w:rsidRDefault="00C46EB0" w:rsidP="00713A2D">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Marcus </w:t>
      </w:r>
      <w:r>
        <w:rPr>
          <w:rFonts w:ascii="Times New Roman" w:hAnsi="Times New Roman" w:cs="Times New Roman"/>
          <w:sz w:val="24"/>
          <w:szCs w:val="24"/>
          <w:lang w:val="en-GB"/>
        </w:rPr>
        <w:t xml:space="preserve">André </w:t>
      </w:r>
      <w:proofErr w:type="spellStart"/>
      <w:r w:rsidRPr="00926EF3">
        <w:rPr>
          <w:rFonts w:ascii="Times New Roman" w:hAnsi="Times New Roman" w:cs="Times New Roman"/>
          <w:sz w:val="24"/>
          <w:szCs w:val="24"/>
          <w:lang w:val="en-GB"/>
        </w:rPr>
        <w:t>Melo</w:t>
      </w:r>
      <w:proofErr w:type="spellEnd"/>
      <w:r w:rsidRPr="00926EF3">
        <w:rPr>
          <w:rFonts w:ascii="Times New Roman" w:hAnsi="Times New Roman" w:cs="Times New Roman"/>
          <w:sz w:val="24"/>
          <w:szCs w:val="24"/>
          <w:lang w:val="en-GB"/>
        </w:rPr>
        <w:t>, ‘The Political Viability of Progressive Tax Reforms in Brazil’, seminar on Taxation and Equality in Latin America, Woodr</w:t>
      </w:r>
      <w:r>
        <w:rPr>
          <w:rFonts w:ascii="Times New Roman" w:hAnsi="Times New Roman" w:cs="Times New Roman"/>
          <w:sz w:val="24"/>
          <w:szCs w:val="24"/>
          <w:lang w:val="en-GB"/>
        </w:rPr>
        <w:t>ow Wilson Center</w:t>
      </w:r>
      <w:r w:rsidRPr="00926EF3">
        <w:rPr>
          <w:rFonts w:ascii="Times New Roman" w:hAnsi="Times New Roman" w:cs="Times New Roman"/>
          <w:sz w:val="24"/>
          <w:szCs w:val="24"/>
          <w:lang w:val="en-GB"/>
        </w:rPr>
        <w:t>, 2012.</w:t>
      </w:r>
    </w:p>
  </w:footnote>
  <w:footnote w:id="4">
    <w:p w:rsidR="00C46EB0" w:rsidRPr="00926EF3" w:rsidRDefault="00C46EB0" w:rsidP="00713A2D">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It does not address the qu</w:t>
      </w:r>
      <w:r>
        <w:rPr>
          <w:rFonts w:ascii="Times New Roman" w:hAnsi="Times New Roman" w:cs="Times New Roman"/>
          <w:sz w:val="24"/>
          <w:szCs w:val="24"/>
          <w:lang w:val="en-GB"/>
        </w:rPr>
        <w:t>estion of whether Brazil’s tax burden is beneficial</w:t>
      </w:r>
      <w:r w:rsidRPr="00926EF3">
        <w:rPr>
          <w:rFonts w:ascii="Times New Roman" w:hAnsi="Times New Roman" w:cs="Times New Roman"/>
          <w:sz w:val="24"/>
          <w:szCs w:val="24"/>
          <w:lang w:val="en-GB"/>
        </w:rPr>
        <w:t>, which would require a different research design.</w:t>
      </w:r>
    </w:p>
  </w:footnote>
  <w:footnote w:id="5">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Marcus</w:t>
      </w:r>
      <w:r>
        <w:rPr>
          <w:rFonts w:ascii="Times New Roman" w:hAnsi="Times New Roman" w:cs="Times New Roman"/>
          <w:sz w:val="24"/>
          <w:szCs w:val="24"/>
          <w:lang w:val="en-GB"/>
        </w:rPr>
        <w:t xml:space="preserve"> André</w:t>
      </w:r>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Melo</w:t>
      </w:r>
      <w:proofErr w:type="spellEnd"/>
      <w:r w:rsidRPr="00926EF3">
        <w:rPr>
          <w:rFonts w:ascii="Times New Roman" w:hAnsi="Times New Roman" w:cs="Times New Roman"/>
          <w:sz w:val="24"/>
          <w:szCs w:val="24"/>
          <w:lang w:val="en-GB"/>
        </w:rPr>
        <w:t xml:space="preserve">, Carlos Pereira and </w:t>
      </w:r>
      <w:proofErr w:type="spellStart"/>
      <w:r w:rsidRPr="00926EF3">
        <w:rPr>
          <w:rFonts w:ascii="Times New Roman" w:hAnsi="Times New Roman" w:cs="Times New Roman"/>
          <w:sz w:val="24"/>
          <w:szCs w:val="24"/>
          <w:lang w:val="en-GB"/>
        </w:rPr>
        <w:t>Saulo</w:t>
      </w:r>
      <w:proofErr w:type="spellEnd"/>
      <w:r w:rsidRPr="00926EF3">
        <w:rPr>
          <w:rFonts w:ascii="Times New Roman" w:hAnsi="Times New Roman" w:cs="Times New Roman"/>
          <w:sz w:val="24"/>
          <w:szCs w:val="24"/>
          <w:lang w:val="en-GB"/>
        </w:rPr>
        <w:t xml:space="preserve"> Souza, ‘The Political Economy of Fiscal Reform in Brazil: The Rationale for the Suboptimal E</w:t>
      </w:r>
      <w:r>
        <w:rPr>
          <w:rFonts w:ascii="Times New Roman" w:hAnsi="Times New Roman" w:cs="Times New Roman"/>
          <w:sz w:val="24"/>
          <w:szCs w:val="24"/>
          <w:lang w:val="en-GB"/>
        </w:rPr>
        <w:t>quilibrium’, IDB Working Paper 117, 2010; José Roberto</w:t>
      </w:r>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Afonso</w:t>
      </w:r>
      <w:proofErr w:type="spellEnd"/>
      <w:r w:rsidRPr="00926EF3">
        <w:rPr>
          <w:rFonts w:ascii="Times New Roman" w:hAnsi="Times New Roman" w:cs="Times New Roman"/>
          <w:sz w:val="24"/>
          <w:szCs w:val="24"/>
          <w:lang w:val="en-GB"/>
        </w:rPr>
        <w:t xml:space="preserve">, ‘A </w:t>
      </w:r>
      <w:proofErr w:type="spellStart"/>
      <w:r w:rsidRPr="00926EF3">
        <w:rPr>
          <w:rFonts w:ascii="Times New Roman" w:hAnsi="Times New Roman" w:cs="Times New Roman"/>
          <w:sz w:val="24"/>
          <w:szCs w:val="24"/>
          <w:lang w:val="en-GB"/>
        </w:rPr>
        <w:t>Economia</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Política</w:t>
      </w:r>
      <w:proofErr w:type="spellEnd"/>
      <w:r w:rsidRPr="00926EF3">
        <w:rPr>
          <w:rFonts w:ascii="Times New Roman" w:hAnsi="Times New Roman" w:cs="Times New Roman"/>
          <w:sz w:val="24"/>
          <w:szCs w:val="24"/>
          <w:lang w:val="en-GB"/>
        </w:rPr>
        <w:t xml:space="preserve"> da </w:t>
      </w:r>
      <w:proofErr w:type="spellStart"/>
      <w:r w:rsidRPr="00926EF3">
        <w:rPr>
          <w:rFonts w:ascii="Times New Roman" w:hAnsi="Times New Roman" w:cs="Times New Roman"/>
          <w:sz w:val="24"/>
          <w:szCs w:val="24"/>
          <w:lang w:val="en-GB"/>
        </w:rPr>
        <w:t>Reforma</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Tributária</w:t>
      </w:r>
      <w:proofErr w:type="spellEnd"/>
      <w:r w:rsidRPr="00926EF3">
        <w:rPr>
          <w:rFonts w:ascii="Times New Roman" w:hAnsi="Times New Roman" w:cs="Times New Roman"/>
          <w:sz w:val="24"/>
          <w:szCs w:val="24"/>
          <w:lang w:val="en-GB"/>
        </w:rPr>
        <w:t xml:space="preserve">: o </w:t>
      </w:r>
      <w:proofErr w:type="spellStart"/>
      <w:r w:rsidRPr="00926EF3">
        <w:rPr>
          <w:rFonts w:ascii="Times New Roman" w:hAnsi="Times New Roman" w:cs="Times New Roman"/>
          <w:sz w:val="24"/>
          <w:szCs w:val="24"/>
          <w:lang w:val="en-GB"/>
        </w:rPr>
        <w:t>caso</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Brasileiro</w:t>
      </w:r>
      <w:proofErr w:type="spellEnd"/>
      <w:r w:rsidRPr="00926EF3">
        <w:rPr>
          <w:rFonts w:ascii="Times New Roman" w:hAnsi="Times New Roman" w:cs="Times New Roman"/>
          <w:sz w:val="24"/>
          <w:szCs w:val="24"/>
          <w:lang w:val="en-GB"/>
        </w:rPr>
        <w:t xml:space="preserve">’, Woodrow </w:t>
      </w:r>
      <w:r>
        <w:rPr>
          <w:rFonts w:ascii="Times New Roman" w:hAnsi="Times New Roman" w:cs="Times New Roman"/>
          <w:sz w:val="24"/>
          <w:szCs w:val="24"/>
          <w:lang w:val="en-GB"/>
        </w:rPr>
        <w:t>Wilson Center, 2013</w:t>
      </w:r>
      <w:r w:rsidRPr="00926EF3">
        <w:rPr>
          <w:rFonts w:ascii="Times New Roman" w:hAnsi="Times New Roman" w:cs="Times New Roman"/>
          <w:sz w:val="24"/>
          <w:szCs w:val="24"/>
          <w:lang w:val="en-GB"/>
        </w:rPr>
        <w:t>.</w:t>
      </w:r>
    </w:p>
  </w:footnote>
  <w:footnote w:id="6">
    <w:p w:rsidR="00C46EB0" w:rsidRPr="00926EF3" w:rsidRDefault="00C46EB0" w:rsidP="00BB4EEC">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In other words, the case selection constitutes</w:t>
      </w:r>
      <w:r w:rsidRPr="00926EF3">
        <w:rPr>
          <w:rFonts w:ascii="Times New Roman" w:hAnsi="Times New Roman" w:cs="Times New Roman"/>
          <w:sz w:val="24"/>
          <w:szCs w:val="24"/>
          <w:lang w:val="en-GB"/>
        </w:rPr>
        <w:t xml:space="preserve"> a ‘most-</w:t>
      </w:r>
      <w:r>
        <w:rPr>
          <w:rFonts w:ascii="Times New Roman" w:hAnsi="Times New Roman" w:cs="Times New Roman"/>
          <w:sz w:val="24"/>
          <w:szCs w:val="24"/>
          <w:lang w:val="en-GB"/>
        </w:rPr>
        <w:t>similar systems’ comparison</w:t>
      </w:r>
      <w:r w:rsidRPr="00926EF3">
        <w:rPr>
          <w:rFonts w:ascii="Times New Roman" w:hAnsi="Times New Roman" w:cs="Times New Roman"/>
          <w:sz w:val="24"/>
          <w:szCs w:val="24"/>
          <w:lang w:val="en-GB"/>
        </w:rPr>
        <w:t>.</w:t>
      </w:r>
      <w:r>
        <w:rPr>
          <w:rFonts w:ascii="Times New Roman" w:hAnsi="Times New Roman" w:cs="Times New Roman"/>
          <w:sz w:val="24"/>
          <w:szCs w:val="24"/>
          <w:lang w:val="en-GB"/>
        </w:rPr>
        <w:t xml:space="preserve"> See Adam </w:t>
      </w:r>
      <w:proofErr w:type="spellStart"/>
      <w:r>
        <w:rPr>
          <w:rFonts w:ascii="Times New Roman" w:hAnsi="Times New Roman" w:cs="Times New Roman"/>
          <w:sz w:val="24"/>
          <w:szCs w:val="24"/>
          <w:lang w:val="en-GB"/>
        </w:rPr>
        <w:t>Przeworski</w:t>
      </w:r>
      <w:proofErr w:type="spellEnd"/>
      <w:r>
        <w:rPr>
          <w:rFonts w:ascii="Times New Roman" w:hAnsi="Times New Roman" w:cs="Times New Roman"/>
          <w:sz w:val="24"/>
          <w:szCs w:val="24"/>
          <w:lang w:val="en-GB"/>
        </w:rPr>
        <w:t xml:space="preserve"> and Henry </w:t>
      </w:r>
      <w:proofErr w:type="spellStart"/>
      <w:r>
        <w:rPr>
          <w:rFonts w:ascii="Times New Roman" w:hAnsi="Times New Roman" w:cs="Times New Roman"/>
          <w:sz w:val="24"/>
          <w:szCs w:val="24"/>
          <w:lang w:val="en-GB"/>
        </w:rPr>
        <w:t>Teune</w:t>
      </w:r>
      <w:proofErr w:type="spellEnd"/>
      <w:r>
        <w:rPr>
          <w:rFonts w:ascii="Times New Roman" w:hAnsi="Times New Roman" w:cs="Times New Roman"/>
          <w:sz w:val="24"/>
          <w:szCs w:val="24"/>
          <w:lang w:val="en-GB"/>
        </w:rPr>
        <w:t xml:space="preserve">, </w:t>
      </w:r>
      <w:proofErr w:type="gramStart"/>
      <w:r w:rsidRPr="00351277">
        <w:rPr>
          <w:rFonts w:ascii="Times New Roman" w:hAnsi="Times New Roman" w:cs="Times New Roman"/>
          <w:i/>
          <w:sz w:val="24"/>
          <w:szCs w:val="24"/>
          <w:lang w:val="en-GB"/>
        </w:rPr>
        <w:t>The</w:t>
      </w:r>
      <w:proofErr w:type="gramEnd"/>
      <w:r w:rsidRPr="00351277">
        <w:rPr>
          <w:rFonts w:ascii="Times New Roman" w:hAnsi="Times New Roman" w:cs="Times New Roman"/>
          <w:i/>
          <w:sz w:val="24"/>
          <w:szCs w:val="24"/>
          <w:lang w:val="en-GB"/>
        </w:rPr>
        <w:t xml:space="preserve"> Logic of Comparative Social Inquiry</w:t>
      </w:r>
      <w:r>
        <w:rPr>
          <w:rFonts w:ascii="Times New Roman" w:hAnsi="Times New Roman" w:cs="Times New Roman"/>
          <w:sz w:val="24"/>
          <w:szCs w:val="24"/>
          <w:lang w:val="en-GB"/>
        </w:rPr>
        <w:t xml:space="preserve"> (New York: Wiley-</w:t>
      </w:r>
      <w:proofErr w:type="spellStart"/>
      <w:r>
        <w:rPr>
          <w:rFonts w:ascii="Times New Roman" w:hAnsi="Times New Roman" w:cs="Times New Roman"/>
          <w:sz w:val="24"/>
          <w:szCs w:val="24"/>
          <w:lang w:val="en-GB"/>
        </w:rPr>
        <w:t>Interscience</w:t>
      </w:r>
      <w:proofErr w:type="spellEnd"/>
      <w:r>
        <w:rPr>
          <w:rFonts w:ascii="Times New Roman" w:hAnsi="Times New Roman" w:cs="Times New Roman"/>
          <w:sz w:val="24"/>
          <w:szCs w:val="24"/>
          <w:lang w:val="en-GB"/>
        </w:rPr>
        <w:t xml:space="preserve">, 1970). </w:t>
      </w:r>
    </w:p>
  </w:footnote>
  <w:footnote w:id="7">
    <w:p w:rsidR="00C46EB0" w:rsidRPr="00926EF3" w:rsidRDefault="00C46EB0" w:rsidP="00BB4EEC">
      <w:pPr>
        <w:pStyle w:val="FootnoteText"/>
        <w:spacing w:line="480" w:lineRule="auto"/>
        <w:rPr>
          <w:rFonts w:ascii="Times New Roman" w:hAnsi="Times New Roman" w:cs="Times New Roman"/>
          <w:iCs/>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See, for example, </w:t>
      </w:r>
      <w:r>
        <w:rPr>
          <w:rFonts w:ascii="Times New Roman" w:hAnsi="Times New Roman" w:cs="Times New Roman"/>
          <w:iCs/>
          <w:sz w:val="24"/>
          <w:szCs w:val="24"/>
          <w:lang w:val="en-GB"/>
        </w:rPr>
        <w:t xml:space="preserve">Carola </w:t>
      </w:r>
      <w:proofErr w:type="spellStart"/>
      <w:r>
        <w:rPr>
          <w:rFonts w:ascii="Times New Roman" w:hAnsi="Times New Roman" w:cs="Times New Roman"/>
          <w:iCs/>
          <w:sz w:val="24"/>
          <w:szCs w:val="24"/>
          <w:lang w:val="en-GB"/>
        </w:rPr>
        <w:t>Pessino</w:t>
      </w:r>
      <w:proofErr w:type="spellEnd"/>
      <w:r>
        <w:rPr>
          <w:rFonts w:ascii="Times New Roman" w:hAnsi="Times New Roman" w:cs="Times New Roman"/>
          <w:iCs/>
          <w:sz w:val="24"/>
          <w:szCs w:val="24"/>
          <w:lang w:val="en-GB"/>
        </w:rPr>
        <w:t xml:space="preserve"> and Ric</w:t>
      </w:r>
      <w:r w:rsidRPr="00926EF3">
        <w:rPr>
          <w:rFonts w:ascii="Times New Roman" w:hAnsi="Times New Roman" w:cs="Times New Roman"/>
          <w:iCs/>
          <w:sz w:val="24"/>
          <w:szCs w:val="24"/>
          <w:lang w:val="en-GB"/>
        </w:rPr>
        <w:t xml:space="preserve">ardo </w:t>
      </w:r>
      <w:proofErr w:type="spellStart"/>
      <w:r w:rsidRPr="00926EF3">
        <w:rPr>
          <w:rFonts w:ascii="Times New Roman" w:hAnsi="Times New Roman" w:cs="Times New Roman"/>
          <w:iCs/>
          <w:sz w:val="24"/>
          <w:szCs w:val="24"/>
          <w:lang w:val="en-GB"/>
        </w:rPr>
        <w:t>Fenochietto</w:t>
      </w:r>
      <w:proofErr w:type="spellEnd"/>
      <w:r w:rsidRPr="00926EF3">
        <w:rPr>
          <w:rFonts w:ascii="Times New Roman" w:hAnsi="Times New Roman" w:cs="Times New Roman"/>
          <w:iCs/>
          <w:sz w:val="24"/>
          <w:szCs w:val="24"/>
          <w:lang w:val="en-GB"/>
        </w:rPr>
        <w:t xml:space="preserve">, ‘Determining Countries’ Tax Effort’, </w:t>
      </w:r>
      <w:proofErr w:type="spellStart"/>
      <w:r w:rsidRPr="00926EF3">
        <w:rPr>
          <w:rFonts w:ascii="Times New Roman" w:hAnsi="Times New Roman" w:cs="Times New Roman"/>
          <w:i/>
          <w:iCs/>
          <w:sz w:val="24"/>
          <w:szCs w:val="24"/>
          <w:lang w:val="en-GB"/>
        </w:rPr>
        <w:t>Revista</w:t>
      </w:r>
      <w:proofErr w:type="spellEnd"/>
      <w:r w:rsidRPr="00926EF3">
        <w:rPr>
          <w:rFonts w:ascii="Times New Roman" w:hAnsi="Times New Roman" w:cs="Times New Roman"/>
          <w:i/>
          <w:iCs/>
          <w:sz w:val="24"/>
          <w:szCs w:val="24"/>
          <w:lang w:val="en-GB"/>
        </w:rPr>
        <w:t xml:space="preserve"> de </w:t>
      </w:r>
      <w:proofErr w:type="spellStart"/>
      <w:r w:rsidRPr="00926EF3">
        <w:rPr>
          <w:rFonts w:ascii="Times New Roman" w:hAnsi="Times New Roman" w:cs="Times New Roman"/>
          <w:i/>
          <w:iCs/>
          <w:sz w:val="24"/>
          <w:szCs w:val="24"/>
          <w:lang w:val="en-GB"/>
        </w:rPr>
        <w:t>Economía</w:t>
      </w:r>
      <w:proofErr w:type="spellEnd"/>
      <w:r w:rsidRPr="00926EF3">
        <w:rPr>
          <w:rFonts w:ascii="Times New Roman" w:hAnsi="Times New Roman" w:cs="Times New Roman"/>
          <w:i/>
          <w:iCs/>
          <w:sz w:val="24"/>
          <w:szCs w:val="24"/>
          <w:lang w:val="en-GB"/>
        </w:rPr>
        <w:t xml:space="preserve"> </w:t>
      </w:r>
      <w:proofErr w:type="spellStart"/>
      <w:r w:rsidRPr="00926EF3">
        <w:rPr>
          <w:rFonts w:ascii="Times New Roman" w:hAnsi="Times New Roman" w:cs="Times New Roman"/>
          <w:i/>
          <w:iCs/>
          <w:sz w:val="24"/>
          <w:szCs w:val="24"/>
          <w:lang w:val="en-GB"/>
        </w:rPr>
        <w:t>Política</w:t>
      </w:r>
      <w:proofErr w:type="spellEnd"/>
      <w:r w:rsidRPr="00926EF3">
        <w:rPr>
          <w:rFonts w:ascii="Times New Roman" w:hAnsi="Times New Roman" w:cs="Times New Roman"/>
          <w:iCs/>
          <w:sz w:val="24"/>
          <w:szCs w:val="24"/>
          <w:lang w:val="en-GB"/>
        </w:rPr>
        <w:t xml:space="preserve"> 195: 4 (2010), pp. 65-87, and Timothy </w:t>
      </w:r>
      <w:proofErr w:type="spellStart"/>
      <w:r w:rsidRPr="00926EF3">
        <w:rPr>
          <w:rFonts w:ascii="Times New Roman" w:hAnsi="Times New Roman" w:cs="Times New Roman"/>
          <w:iCs/>
          <w:sz w:val="24"/>
          <w:szCs w:val="24"/>
          <w:lang w:val="en-GB"/>
        </w:rPr>
        <w:t>Besley</w:t>
      </w:r>
      <w:proofErr w:type="spellEnd"/>
      <w:r w:rsidRPr="00926EF3">
        <w:rPr>
          <w:rFonts w:ascii="Times New Roman" w:hAnsi="Times New Roman" w:cs="Times New Roman"/>
          <w:iCs/>
          <w:sz w:val="24"/>
          <w:szCs w:val="24"/>
          <w:lang w:val="en-GB"/>
        </w:rPr>
        <w:t xml:space="preserve"> and </w:t>
      </w:r>
      <w:proofErr w:type="spellStart"/>
      <w:r w:rsidRPr="00926EF3">
        <w:rPr>
          <w:rFonts w:ascii="Times New Roman" w:hAnsi="Times New Roman" w:cs="Times New Roman"/>
          <w:iCs/>
          <w:sz w:val="24"/>
          <w:szCs w:val="24"/>
          <w:lang w:val="en-GB"/>
        </w:rPr>
        <w:t>Torsten</w:t>
      </w:r>
      <w:proofErr w:type="spellEnd"/>
      <w:r w:rsidRPr="00926EF3">
        <w:rPr>
          <w:rFonts w:ascii="Times New Roman" w:hAnsi="Times New Roman" w:cs="Times New Roman"/>
          <w:iCs/>
          <w:sz w:val="24"/>
          <w:szCs w:val="24"/>
          <w:lang w:val="en-GB"/>
        </w:rPr>
        <w:t xml:space="preserve"> </w:t>
      </w:r>
      <w:proofErr w:type="spellStart"/>
      <w:r w:rsidRPr="00926EF3">
        <w:rPr>
          <w:rFonts w:ascii="Times New Roman" w:hAnsi="Times New Roman" w:cs="Times New Roman"/>
          <w:iCs/>
          <w:sz w:val="24"/>
          <w:szCs w:val="24"/>
          <w:lang w:val="en-GB"/>
        </w:rPr>
        <w:t>Persson</w:t>
      </w:r>
      <w:proofErr w:type="spellEnd"/>
      <w:r w:rsidRPr="00926EF3">
        <w:rPr>
          <w:rFonts w:ascii="Times New Roman" w:hAnsi="Times New Roman" w:cs="Times New Roman"/>
          <w:iCs/>
          <w:sz w:val="24"/>
          <w:szCs w:val="24"/>
          <w:lang w:val="en-GB"/>
        </w:rPr>
        <w:t>, ‘Taxation and Development’, Centre for Economic Policy Research, 2013.</w:t>
      </w:r>
    </w:p>
  </w:footnote>
  <w:footnote w:id="8">
    <w:p w:rsidR="00C46EB0" w:rsidRPr="00926EF3" w:rsidRDefault="00C46EB0" w:rsidP="00BB4EEC">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James Mahoney and Dietrich </w:t>
      </w:r>
      <w:proofErr w:type="spellStart"/>
      <w:r w:rsidRPr="00926EF3">
        <w:rPr>
          <w:rFonts w:ascii="Times New Roman" w:hAnsi="Times New Roman" w:cs="Times New Roman"/>
          <w:sz w:val="24"/>
          <w:szCs w:val="24"/>
          <w:lang w:val="en-GB"/>
        </w:rPr>
        <w:t>Rueschemeyer</w:t>
      </w:r>
      <w:proofErr w:type="spellEnd"/>
      <w:r w:rsidRPr="00926EF3">
        <w:rPr>
          <w:rFonts w:ascii="Times New Roman" w:hAnsi="Times New Roman" w:cs="Times New Roman"/>
          <w:sz w:val="24"/>
          <w:szCs w:val="24"/>
          <w:lang w:val="en-GB"/>
        </w:rPr>
        <w:t xml:space="preserve">, ‘Comparative Historical Analysis: Achievements and Agendas’, in Mahoney and </w:t>
      </w:r>
      <w:proofErr w:type="spellStart"/>
      <w:r w:rsidRPr="00926EF3">
        <w:rPr>
          <w:rFonts w:ascii="Times New Roman" w:hAnsi="Times New Roman" w:cs="Times New Roman"/>
          <w:sz w:val="24"/>
          <w:szCs w:val="24"/>
          <w:lang w:val="en-GB"/>
        </w:rPr>
        <w:t>Rueschemeyer</w:t>
      </w:r>
      <w:proofErr w:type="spellEnd"/>
      <w:r w:rsidRPr="00926EF3">
        <w:rPr>
          <w:rFonts w:ascii="Times New Roman" w:hAnsi="Times New Roman" w:cs="Times New Roman"/>
          <w:sz w:val="24"/>
          <w:szCs w:val="24"/>
          <w:lang w:val="en-GB"/>
        </w:rPr>
        <w:t xml:space="preserve"> (eds.) </w:t>
      </w:r>
      <w:r w:rsidRPr="00926EF3">
        <w:rPr>
          <w:rFonts w:ascii="Times New Roman" w:hAnsi="Times New Roman" w:cs="Times New Roman"/>
          <w:i/>
          <w:sz w:val="24"/>
          <w:szCs w:val="24"/>
          <w:lang w:val="en-GB"/>
        </w:rPr>
        <w:t>Comparative Historical Analysis in the Social Sciences</w:t>
      </w:r>
      <w:r w:rsidRPr="00926EF3">
        <w:rPr>
          <w:rFonts w:ascii="Times New Roman" w:hAnsi="Times New Roman" w:cs="Times New Roman"/>
          <w:sz w:val="24"/>
          <w:szCs w:val="24"/>
          <w:lang w:val="en-GB"/>
        </w:rPr>
        <w:t xml:space="preserve"> (Cambridge: Cambridge University Press, 2003)</w:t>
      </w:r>
      <w:r>
        <w:rPr>
          <w:rFonts w:ascii="Times New Roman" w:hAnsi="Times New Roman" w:cs="Times New Roman"/>
          <w:sz w:val="24"/>
          <w:szCs w:val="24"/>
          <w:lang w:val="en-GB"/>
        </w:rPr>
        <w:t>, pp. 3-38</w:t>
      </w:r>
      <w:r w:rsidRPr="00926EF3">
        <w:rPr>
          <w:rFonts w:ascii="Times New Roman" w:hAnsi="Times New Roman" w:cs="Times New Roman"/>
          <w:sz w:val="24"/>
          <w:szCs w:val="24"/>
          <w:lang w:val="en-GB"/>
        </w:rPr>
        <w:t>.</w:t>
      </w:r>
    </w:p>
  </w:footnote>
  <w:footnote w:id="9">
    <w:p w:rsidR="00C46EB0" w:rsidRPr="00926EF3" w:rsidRDefault="00C46EB0" w:rsidP="00BB4EEC">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The term</w:t>
      </w:r>
      <w:r w:rsidRPr="00926EF3">
        <w:rPr>
          <w:rFonts w:ascii="Times New Roman" w:hAnsi="Times New Roman" w:cs="Times New Roman"/>
          <w:sz w:val="24"/>
          <w:szCs w:val="24"/>
          <w:lang w:val="en-GB"/>
        </w:rPr>
        <w:t xml:space="preserve"> ‘p</w:t>
      </w:r>
      <w:r>
        <w:rPr>
          <w:rFonts w:ascii="Times New Roman" w:hAnsi="Times New Roman" w:cs="Times New Roman"/>
          <w:sz w:val="24"/>
          <w:szCs w:val="24"/>
          <w:lang w:val="en-GB"/>
        </w:rPr>
        <w:t>opular’ as</w:t>
      </w:r>
      <w:r w:rsidRPr="00926EF3">
        <w:rPr>
          <w:rFonts w:ascii="Times New Roman" w:hAnsi="Times New Roman" w:cs="Times New Roman"/>
          <w:sz w:val="24"/>
          <w:szCs w:val="24"/>
          <w:lang w:val="en-GB"/>
        </w:rPr>
        <w:t xml:space="preserve"> used here</w:t>
      </w:r>
      <w:r>
        <w:rPr>
          <w:rFonts w:ascii="Times New Roman" w:hAnsi="Times New Roman" w:cs="Times New Roman"/>
          <w:sz w:val="24"/>
          <w:szCs w:val="24"/>
          <w:lang w:val="en-GB"/>
        </w:rPr>
        <w:t xml:space="preserve"> encompasses</w:t>
      </w:r>
      <w:r w:rsidRPr="00926EF3">
        <w:rPr>
          <w:rFonts w:ascii="Times New Roman" w:hAnsi="Times New Roman" w:cs="Times New Roman"/>
          <w:sz w:val="24"/>
          <w:szCs w:val="24"/>
          <w:lang w:val="en-GB"/>
        </w:rPr>
        <w:t xml:space="preserve"> both manual labourers and </w:t>
      </w:r>
      <w:r>
        <w:rPr>
          <w:rFonts w:ascii="Times New Roman" w:hAnsi="Times New Roman" w:cs="Times New Roman"/>
          <w:sz w:val="24"/>
          <w:szCs w:val="24"/>
          <w:lang w:val="en-GB"/>
        </w:rPr>
        <w:t xml:space="preserve">moderate income </w:t>
      </w:r>
      <w:r w:rsidRPr="00926EF3">
        <w:rPr>
          <w:rFonts w:ascii="Times New Roman" w:hAnsi="Times New Roman" w:cs="Times New Roman"/>
          <w:sz w:val="24"/>
          <w:szCs w:val="24"/>
          <w:lang w:val="en-GB"/>
        </w:rPr>
        <w:t>white collar workers. This usage</w:t>
      </w:r>
      <w:r>
        <w:rPr>
          <w:rFonts w:ascii="Times New Roman" w:hAnsi="Times New Roman" w:cs="Times New Roman"/>
          <w:sz w:val="24"/>
          <w:szCs w:val="24"/>
          <w:lang w:val="en-GB"/>
        </w:rPr>
        <w:t>, while not universal,</w:t>
      </w:r>
      <w:r w:rsidRPr="00926EF3">
        <w:rPr>
          <w:rFonts w:ascii="Times New Roman" w:hAnsi="Times New Roman" w:cs="Times New Roman"/>
          <w:sz w:val="24"/>
          <w:szCs w:val="24"/>
          <w:lang w:val="en-GB"/>
        </w:rPr>
        <w:t xml:space="preserve"> is fairly conventional in the study</w:t>
      </w:r>
      <w:r>
        <w:rPr>
          <w:rFonts w:ascii="Times New Roman" w:hAnsi="Times New Roman" w:cs="Times New Roman"/>
          <w:sz w:val="24"/>
          <w:szCs w:val="24"/>
          <w:lang w:val="en-GB"/>
        </w:rPr>
        <w:t xml:space="preserve"> of Latin American politics. F</w:t>
      </w:r>
      <w:r w:rsidRPr="00926EF3">
        <w:rPr>
          <w:rFonts w:ascii="Times New Roman" w:hAnsi="Times New Roman" w:cs="Times New Roman"/>
          <w:sz w:val="24"/>
          <w:szCs w:val="24"/>
          <w:lang w:val="en-GB"/>
        </w:rPr>
        <w:t>or example,</w:t>
      </w:r>
      <w:r>
        <w:rPr>
          <w:rFonts w:ascii="Times New Roman" w:hAnsi="Times New Roman" w:cs="Times New Roman"/>
          <w:sz w:val="24"/>
          <w:szCs w:val="24"/>
          <w:lang w:val="en-GB"/>
        </w:rPr>
        <w:t xml:space="preserve"> see</w:t>
      </w:r>
      <w:r w:rsidRPr="00926EF3">
        <w:rPr>
          <w:rFonts w:ascii="Times New Roman" w:hAnsi="Times New Roman" w:cs="Times New Roman"/>
          <w:sz w:val="24"/>
          <w:szCs w:val="24"/>
          <w:lang w:val="en-GB"/>
        </w:rPr>
        <w:t xml:space="preserve"> David Collier (ed.), </w:t>
      </w:r>
      <w:r w:rsidRPr="00926EF3">
        <w:rPr>
          <w:rFonts w:ascii="Times New Roman" w:hAnsi="Times New Roman" w:cs="Times New Roman"/>
          <w:i/>
          <w:sz w:val="24"/>
          <w:szCs w:val="24"/>
          <w:lang w:val="en-GB"/>
        </w:rPr>
        <w:t>The New Authoritarianism in Latin America</w:t>
      </w:r>
      <w:r w:rsidRPr="00926EF3">
        <w:rPr>
          <w:rFonts w:ascii="Times New Roman" w:hAnsi="Times New Roman" w:cs="Times New Roman"/>
          <w:sz w:val="24"/>
          <w:szCs w:val="24"/>
          <w:lang w:val="en-GB"/>
        </w:rPr>
        <w:t xml:space="preserve"> (Princeton: Princeton University Press, 1979) and, more recently, Marcus J. Kurtz, </w:t>
      </w:r>
      <w:r w:rsidRPr="00926EF3">
        <w:rPr>
          <w:rFonts w:ascii="Times New Roman" w:hAnsi="Times New Roman" w:cs="Times New Roman"/>
          <w:i/>
          <w:sz w:val="24"/>
          <w:szCs w:val="24"/>
          <w:lang w:val="en-GB"/>
        </w:rPr>
        <w:t>Latin American State Building in Comparative Perspective: Social Foundations of Institutional Order</w:t>
      </w:r>
      <w:r w:rsidRPr="00926EF3">
        <w:rPr>
          <w:rFonts w:ascii="Times New Roman" w:hAnsi="Times New Roman" w:cs="Times New Roman"/>
          <w:sz w:val="24"/>
          <w:szCs w:val="24"/>
          <w:lang w:val="en-GB"/>
        </w:rPr>
        <w:t xml:space="preserve"> (Cambridge: Cambridge University Press, 2013).</w:t>
      </w:r>
    </w:p>
  </w:footnote>
  <w:footnote w:id="10">
    <w:p w:rsidR="00C46EB0" w:rsidRPr="00926EF3" w:rsidRDefault="00C46EB0" w:rsidP="00BB4EEC">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Scott Mainwaring and </w:t>
      </w:r>
      <w:proofErr w:type="spellStart"/>
      <w:r w:rsidRPr="00926EF3">
        <w:rPr>
          <w:rFonts w:ascii="Times New Roman" w:hAnsi="Times New Roman" w:cs="Times New Roman"/>
          <w:sz w:val="24"/>
          <w:szCs w:val="24"/>
          <w:lang w:val="en-GB"/>
        </w:rPr>
        <w:t>Aníbal</w:t>
      </w:r>
      <w:proofErr w:type="spellEnd"/>
      <w:r w:rsidRPr="00926EF3">
        <w:rPr>
          <w:rFonts w:ascii="Times New Roman" w:hAnsi="Times New Roman" w:cs="Times New Roman"/>
          <w:sz w:val="24"/>
          <w:szCs w:val="24"/>
          <w:lang w:val="en-GB"/>
        </w:rPr>
        <w:t xml:space="preserve"> Pérez-</w:t>
      </w:r>
      <w:proofErr w:type="spellStart"/>
      <w:r w:rsidRPr="00926EF3">
        <w:rPr>
          <w:rFonts w:ascii="Times New Roman" w:hAnsi="Times New Roman" w:cs="Times New Roman"/>
          <w:sz w:val="24"/>
          <w:szCs w:val="24"/>
          <w:lang w:val="en-GB"/>
        </w:rPr>
        <w:t>Liñán</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 xml:space="preserve">Democracies and Dictatorships in Latin America: Emergence, Survival, and </w:t>
      </w:r>
      <w:proofErr w:type="gramStart"/>
      <w:r w:rsidRPr="00926EF3">
        <w:rPr>
          <w:rFonts w:ascii="Times New Roman" w:hAnsi="Times New Roman" w:cs="Times New Roman"/>
          <w:i/>
          <w:sz w:val="24"/>
          <w:szCs w:val="24"/>
          <w:lang w:val="en-GB"/>
        </w:rPr>
        <w:t>Fall</w:t>
      </w:r>
      <w:proofErr w:type="gramEnd"/>
      <w:r w:rsidRPr="00926EF3">
        <w:rPr>
          <w:rFonts w:ascii="Times New Roman" w:hAnsi="Times New Roman" w:cs="Times New Roman"/>
          <w:sz w:val="24"/>
          <w:szCs w:val="24"/>
          <w:lang w:val="en-GB"/>
        </w:rPr>
        <w:t xml:space="preserve"> (Cambridge: Cambridge University Press, 2013).</w:t>
      </w:r>
    </w:p>
  </w:footnote>
  <w:footnote w:id="11">
    <w:p w:rsidR="00C46EB0" w:rsidRPr="00BD7F0B" w:rsidRDefault="00C46EB0" w:rsidP="006A26E9">
      <w:pPr>
        <w:pStyle w:val="FootnoteText"/>
        <w:spacing w:line="480" w:lineRule="auto"/>
        <w:rPr>
          <w:rFonts w:ascii="Times New Roman" w:hAnsi="Times New Roman" w:cs="Times New Roman"/>
          <w:sz w:val="24"/>
          <w:szCs w:val="24"/>
        </w:rPr>
      </w:pPr>
      <w:r w:rsidRPr="00926EF3">
        <w:rPr>
          <w:rStyle w:val="FootnoteReference"/>
          <w:rFonts w:ascii="Times New Roman" w:hAnsi="Times New Roman" w:cs="Times New Roman"/>
          <w:sz w:val="24"/>
          <w:szCs w:val="24"/>
          <w:lang w:val="en-GB"/>
        </w:rPr>
        <w:footnoteRef/>
      </w:r>
      <w:r w:rsidRPr="00BD7F0B">
        <w:rPr>
          <w:rFonts w:ascii="Times New Roman" w:hAnsi="Times New Roman" w:cs="Times New Roman"/>
          <w:sz w:val="24"/>
          <w:szCs w:val="24"/>
        </w:rPr>
        <w:t xml:space="preserve"> IBGE, </w:t>
      </w:r>
      <w:proofErr w:type="spellStart"/>
      <w:r w:rsidRPr="00BD7F0B">
        <w:rPr>
          <w:rFonts w:ascii="Times New Roman" w:hAnsi="Times New Roman" w:cs="Times New Roman"/>
          <w:i/>
          <w:sz w:val="24"/>
          <w:szCs w:val="24"/>
        </w:rPr>
        <w:t>Estatísticas</w:t>
      </w:r>
      <w:proofErr w:type="spellEnd"/>
      <w:r w:rsidRPr="00BD7F0B">
        <w:rPr>
          <w:rFonts w:ascii="Times New Roman" w:hAnsi="Times New Roman" w:cs="Times New Roman"/>
          <w:i/>
          <w:sz w:val="24"/>
          <w:szCs w:val="24"/>
        </w:rPr>
        <w:t xml:space="preserve"> </w:t>
      </w:r>
      <w:proofErr w:type="spellStart"/>
      <w:r w:rsidRPr="00BD7F0B">
        <w:rPr>
          <w:rFonts w:ascii="Times New Roman" w:hAnsi="Times New Roman" w:cs="Times New Roman"/>
          <w:i/>
          <w:sz w:val="24"/>
          <w:szCs w:val="24"/>
        </w:rPr>
        <w:t>Historicas</w:t>
      </w:r>
      <w:proofErr w:type="spellEnd"/>
      <w:r w:rsidRPr="00BD7F0B">
        <w:rPr>
          <w:rFonts w:ascii="Times New Roman" w:hAnsi="Times New Roman" w:cs="Times New Roman"/>
          <w:sz w:val="24"/>
          <w:szCs w:val="24"/>
        </w:rPr>
        <w:t>.</w:t>
      </w:r>
    </w:p>
  </w:footnote>
  <w:footnote w:id="12">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Data are from World Bank, ‘Current Economic Position and Prospects of Brazil,’ 1965, Annex 3, pp. 22 and 26, for the earlier period, and CEPALSTAT for the later period.</w:t>
      </w:r>
    </w:p>
  </w:footnote>
  <w:footnote w:id="13">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Ibid.</w:t>
      </w:r>
    </w:p>
  </w:footnote>
  <w:footnote w:id="14">
    <w:p w:rsidR="00C46EB0" w:rsidRPr="00926EF3"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Luigi </w:t>
      </w:r>
      <w:proofErr w:type="spellStart"/>
      <w:r w:rsidRPr="00926EF3">
        <w:rPr>
          <w:rFonts w:ascii="Times New Roman" w:hAnsi="Times New Roman" w:cs="Times New Roman"/>
          <w:sz w:val="24"/>
          <w:szCs w:val="24"/>
          <w:lang w:val="en-GB"/>
        </w:rPr>
        <w:t>Bernardi</w:t>
      </w:r>
      <w:proofErr w:type="spellEnd"/>
      <w:r w:rsidRPr="00926EF3">
        <w:rPr>
          <w:rFonts w:ascii="Times New Roman" w:hAnsi="Times New Roman" w:cs="Times New Roman"/>
          <w:sz w:val="24"/>
          <w:szCs w:val="24"/>
          <w:lang w:val="en-GB"/>
        </w:rPr>
        <w:t xml:space="preserve">, Alberto </w:t>
      </w:r>
      <w:proofErr w:type="spellStart"/>
      <w:r w:rsidRPr="00926EF3">
        <w:rPr>
          <w:rFonts w:ascii="Times New Roman" w:hAnsi="Times New Roman" w:cs="Times New Roman"/>
          <w:sz w:val="24"/>
          <w:szCs w:val="24"/>
          <w:lang w:val="en-GB"/>
        </w:rPr>
        <w:t>Barreix</w:t>
      </w:r>
      <w:proofErr w:type="spellEnd"/>
      <w:r w:rsidRPr="00926EF3">
        <w:rPr>
          <w:rFonts w:ascii="Times New Roman" w:hAnsi="Times New Roman" w:cs="Times New Roman"/>
          <w:sz w:val="24"/>
          <w:szCs w:val="24"/>
          <w:lang w:val="en-GB"/>
        </w:rPr>
        <w:t xml:space="preserve">, Anna </w:t>
      </w:r>
      <w:proofErr w:type="spellStart"/>
      <w:r w:rsidRPr="00926EF3">
        <w:rPr>
          <w:rFonts w:ascii="Times New Roman" w:hAnsi="Times New Roman" w:cs="Times New Roman"/>
          <w:sz w:val="24"/>
          <w:szCs w:val="24"/>
          <w:lang w:val="en-GB"/>
        </w:rPr>
        <w:t>Marenzi</w:t>
      </w:r>
      <w:proofErr w:type="spellEnd"/>
      <w:r w:rsidRPr="00926EF3">
        <w:rPr>
          <w:rFonts w:ascii="Times New Roman" w:hAnsi="Times New Roman" w:cs="Times New Roman"/>
          <w:sz w:val="24"/>
          <w:szCs w:val="24"/>
          <w:lang w:val="en-GB"/>
        </w:rPr>
        <w:t xml:space="preserve">, and Paola </w:t>
      </w:r>
      <w:proofErr w:type="spellStart"/>
      <w:r w:rsidRPr="00926EF3">
        <w:rPr>
          <w:rFonts w:ascii="Times New Roman" w:hAnsi="Times New Roman" w:cs="Times New Roman"/>
          <w:sz w:val="24"/>
          <w:szCs w:val="24"/>
          <w:lang w:val="en-GB"/>
        </w:rPr>
        <w:t>Profeta</w:t>
      </w:r>
      <w:proofErr w:type="spellEnd"/>
      <w:r w:rsidRPr="00926EF3">
        <w:rPr>
          <w:rFonts w:ascii="Times New Roman" w:hAnsi="Times New Roman" w:cs="Times New Roman"/>
          <w:sz w:val="24"/>
          <w:szCs w:val="24"/>
          <w:lang w:val="en-GB"/>
        </w:rPr>
        <w:t xml:space="preserve"> (eds.),</w:t>
      </w:r>
      <w:r w:rsidRPr="00926EF3">
        <w:rPr>
          <w:rFonts w:ascii="Times New Roman" w:hAnsi="Times New Roman" w:cs="Times New Roman"/>
          <w:i/>
          <w:sz w:val="24"/>
          <w:szCs w:val="24"/>
          <w:lang w:val="en-GB"/>
        </w:rPr>
        <w:t xml:space="preserve"> Tax Systems and Tax Reforms in Latin America</w:t>
      </w:r>
      <w:r w:rsidRPr="00926EF3">
        <w:rPr>
          <w:rFonts w:ascii="Times New Roman" w:hAnsi="Times New Roman" w:cs="Times New Roman"/>
          <w:sz w:val="24"/>
          <w:szCs w:val="24"/>
          <w:lang w:val="en-GB"/>
        </w:rPr>
        <w:t xml:space="preserve"> (London: Routledge, 2007).</w:t>
      </w:r>
    </w:p>
  </w:footnote>
  <w:footnote w:id="15">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See Table 2 for sources.</w:t>
      </w:r>
    </w:p>
  </w:footnote>
  <w:footnote w:id="16">
    <w:p w:rsidR="00C46EB0" w:rsidRPr="00926EF3" w:rsidRDefault="00C46EB0" w:rsidP="007874E5">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In 2012, for example, four countries had a </w:t>
      </w:r>
      <w:r>
        <w:rPr>
          <w:rFonts w:ascii="Times New Roman" w:hAnsi="Times New Roman" w:cs="Times New Roman"/>
          <w:sz w:val="24"/>
          <w:szCs w:val="24"/>
          <w:lang w:val="en-GB"/>
        </w:rPr>
        <w:t>higher per capita GDP</w:t>
      </w:r>
      <w:r w:rsidRPr="00926EF3">
        <w:rPr>
          <w:rFonts w:ascii="Times New Roman" w:hAnsi="Times New Roman" w:cs="Times New Roman"/>
          <w:sz w:val="24"/>
          <w:szCs w:val="24"/>
          <w:lang w:val="en-GB"/>
        </w:rPr>
        <w:t xml:space="preserve"> and three were less than 20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cent bel</w:t>
      </w:r>
      <w:r>
        <w:rPr>
          <w:rFonts w:ascii="Times New Roman" w:hAnsi="Times New Roman" w:cs="Times New Roman"/>
          <w:sz w:val="24"/>
          <w:szCs w:val="24"/>
          <w:lang w:val="en-GB"/>
        </w:rPr>
        <w:t>ow Brazil. See CEPALSTAT</w:t>
      </w:r>
      <w:r w:rsidRPr="00926EF3">
        <w:rPr>
          <w:rFonts w:ascii="Times New Roman" w:hAnsi="Times New Roman" w:cs="Times New Roman"/>
          <w:sz w:val="24"/>
          <w:szCs w:val="24"/>
          <w:lang w:val="en-GB"/>
        </w:rPr>
        <w:t>.</w:t>
      </w:r>
    </w:p>
  </w:footnote>
  <w:footnote w:id="17">
    <w:p w:rsidR="00C46EB0" w:rsidRPr="00926EF3" w:rsidRDefault="00C46EB0" w:rsidP="007874E5">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Pessino</w:t>
      </w:r>
      <w:proofErr w:type="spellEnd"/>
      <w:r w:rsidRPr="00926EF3">
        <w:rPr>
          <w:rFonts w:ascii="Times New Roman" w:hAnsi="Times New Roman" w:cs="Times New Roman"/>
          <w:sz w:val="24"/>
          <w:szCs w:val="24"/>
          <w:lang w:val="en-GB"/>
        </w:rPr>
        <w:t xml:space="preserve"> and </w:t>
      </w:r>
      <w:proofErr w:type="spellStart"/>
      <w:r w:rsidRPr="00926EF3">
        <w:rPr>
          <w:rFonts w:ascii="Times New Roman" w:hAnsi="Times New Roman" w:cs="Times New Roman"/>
          <w:sz w:val="24"/>
          <w:szCs w:val="24"/>
          <w:lang w:val="en-GB"/>
        </w:rPr>
        <w:t>Fenochietti</w:t>
      </w:r>
      <w:proofErr w:type="spellEnd"/>
      <w:r w:rsidRPr="00926EF3">
        <w:rPr>
          <w:rFonts w:ascii="Times New Roman" w:hAnsi="Times New Roman" w:cs="Times New Roman"/>
          <w:sz w:val="24"/>
          <w:szCs w:val="24"/>
          <w:lang w:val="en-GB"/>
        </w:rPr>
        <w:t>, ‘Determinin</w:t>
      </w:r>
      <w:r>
        <w:rPr>
          <w:rFonts w:ascii="Times New Roman" w:hAnsi="Times New Roman" w:cs="Times New Roman"/>
          <w:sz w:val="24"/>
          <w:szCs w:val="24"/>
          <w:lang w:val="en-GB"/>
        </w:rPr>
        <w:t>g Countries’ Tax Effort’</w:t>
      </w:r>
      <w:r w:rsidRPr="00926EF3">
        <w:rPr>
          <w:rFonts w:ascii="Times New Roman" w:hAnsi="Times New Roman" w:cs="Times New Roman"/>
          <w:sz w:val="24"/>
          <w:szCs w:val="24"/>
          <w:lang w:val="en-GB"/>
        </w:rPr>
        <w:t>.</w:t>
      </w:r>
    </w:p>
  </w:footnote>
  <w:footnote w:id="18">
    <w:p w:rsidR="00C46EB0" w:rsidRPr="00926EF3" w:rsidRDefault="00C46EB0" w:rsidP="007874E5">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CEPALSTAT</w:t>
      </w:r>
      <w:r w:rsidRPr="00926EF3">
        <w:rPr>
          <w:rFonts w:ascii="Times New Roman" w:hAnsi="Times New Roman" w:cs="Times New Roman"/>
          <w:sz w:val="24"/>
          <w:szCs w:val="24"/>
          <w:lang w:val="en-GB"/>
        </w:rPr>
        <w:t>.</w:t>
      </w:r>
    </w:p>
  </w:footnote>
  <w:footnote w:id="19">
    <w:p w:rsidR="00C46EB0" w:rsidRPr="00926EF3" w:rsidRDefault="00C46EB0" w:rsidP="007874E5">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Dani </w:t>
      </w:r>
      <w:proofErr w:type="spellStart"/>
      <w:r w:rsidRPr="00926EF3">
        <w:rPr>
          <w:rFonts w:ascii="Times New Roman" w:hAnsi="Times New Roman" w:cs="Times New Roman"/>
          <w:sz w:val="24"/>
          <w:szCs w:val="24"/>
          <w:lang w:val="en-GB"/>
        </w:rPr>
        <w:t>Rodrik</w:t>
      </w:r>
      <w:proofErr w:type="spellEnd"/>
      <w:r w:rsidRPr="00926EF3">
        <w:rPr>
          <w:rFonts w:ascii="Times New Roman" w:hAnsi="Times New Roman" w:cs="Times New Roman"/>
          <w:sz w:val="24"/>
          <w:szCs w:val="24"/>
          <w:lang w:val="en-GB"/>
        </w:rPr>
        <w:t xml:space="preserve">, ‘Why Do More Open Countries have Bigger Governments?’ </w:t>
      </w:r>
      <w:r w:rsidRPr="00926EF3">
        <w:rPr>
          <w:rFonts w:ascii="Times New Roman" w:hAnsi="Times New Roman" w:cs="Times New Roman"/>
          <w:i/>
          <w:sz w:val="24"/>
          <w:szCs w:val="24"/>
          <w:lang w:val="en-GB"/>
        </w:rPr>
        <w:t>Journal of Political Economy</w:t>
      </w:r>
      <w:r w:rsidRPr="00926EF3">
        <w:rPr>
          <w:rFonts w:ascii="Times New Roman" w:hAnsi="Times New Roman" w:cs="Times New Roman"/>
          <w:sz w:val="24"/>
          <w:szCs w:val="24"/>
          <w:lang w:val="en-GB"/>
        </w:rPr>
        <w:t xml:space="preserve"> 106: 5 (1998), pp. 997-1032</w:t>
      </w:r>
    </w:p>
  </w:footnote>
  <w:footnote w:id="20">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CEPALSTAT</w:t>
      </w:r>
      <w:r w:rsidRPr="00926EF3">
        <w:rPr>
          <w:rFonts w:ascii="Times New Roman" w:hAnsi="Times New Roman" w:cs="Times New Roman"/>
          <w:sz w:val="24"/>
          <w:szCs w:val="24"/>
          <w:lang w:val="en-GB"/>
        </w:rPr>
        <w:t>.</w:t>
      </w:r>
    </w:p>
  </w:footnote>
  <w:footnote w:id="21">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Bernardi</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Barreix</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Marenzi</w:t>
      </w:r>
      <w:proofErr w:type="spellEnd"/>
      <w:r w:rsidRPr="00926EF3">
        <w:rPr>
          <w:rFonts w:ascii="Times New Roman" w:hAnsi="Times New Roman" w:cs="Times New Roman"/>
          <w:sz w:val="24"/>
          <w:szCs w:val="24"/>
          <w:lang w:val="en-GB"/>
        </w:rPr>
        <w:t xml:space="preserve">, and </w:t>
      </w:r>
      <w:proofErr w:type="spellStart"/>
      <w:r w:rsidRPr="00926EF3">
        <w:rPr>
          <w:rFonts w:ascii="Times New Roman" w:hAnsi="Times New Roman" w:cs="Times New Roman"/>
          <w:sz w:val="24"/>
          <w:szCs w:val="24"/>
          <w:lang w:val="en-GB"/>
        </w:rPr>
        <w:t>Profeta</w:t>
      </w:r>
      <w:proofErr w:type="spellEnd"/>
      <w:r w:rsidRPr="00926EF3">
        <w:rPr>
          <w:rFonts w:ascii="Times New Roman" w:hAnsi="Times New Roman" w:cs="Times New Roman"/>
          <w:sz w:val="24"/>
          <w:szCs w:val="24"/>
          <w:lang w:val="en-GB"/>
        </w:rPr>
        <w:t>,</w:t>
      </w:r>
      <w:r w:rsidRPr="00926EF3">
        <w:rPr>
          <w:rFonts w:ascii="Times New Roman" w:hAnsi="Times New Roman" w:cs="Times New Roman"/>
          <w:i/>
          <w:sz w:val="24"/>
          <w:szCs w:val="24"/>
          <w:lang w:val="en-GB"/>
        </w:rPr>
        <w:t xml:space="preserve"> Tax Systems and Tax Reform</w:t>
      </w:r>
      <w:r w:rsidRPr="00926EF3">
        <w:rPr>
          <w:rFonts w:ascii="Times New Roman" w:hAnsi="Times New Roman" w:cs="Times New Roman"/>
          <w:sz w:val="24"/>
          <w:szCs w:val="24"/>
          <w:lang w:val="en-GB"/>
        </w:rPr>
        <w:t>.</w:t>
      </w:r>
    </w:p>
  </w:footnote>
  <w:footnote w:id="22">
    <w:p w:rsidR="00C46EB0" w:rsidRPr="001F3022"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José Serra and José Roberto Afonso, ‘Tributação, seguridade e coesão social no Brasil’, ECLAC Série políticas sociales 133, 2007.</w:t>
      </w:r>
    </w:p>
  </w:footnote>
  <w:footnote w:id="23">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Brazil’s </w:t>
      </w:r>
      <w:r>
        <w:rPr>
          <w:rFonts w:ascii="Times New Roman" w:hAnsi="Times New Roman" w:cs="Times New Roman"/>
          <w:sz w:val="24"/>
          <w:szCs w:val="24"/>
          <w:lang w:val="en-GB"/>
        </w:rPr>
        <w:t>annual inflation between 2003 and 2012 averaged</w:t>
      </w:r>
      <w:r w:rsidRPr="00926EF3">
        <w:rPr>
          <w:rFonts w:ascii="Times New Roman" w:hAnsi="Times New Roman" w:cs="Times New Roman"/>
          <w:sz w:val="24"/>
          <w:szCs w:val="24"/>
          <w:lang w:val="en-GB"/>
        </w:rPr>
        <w:t xml:space="preserve"> 6.4 per cent, compared t</w:t>
      </w:r>
      <w:r>
        <w:rPr>
          <w:rFonts w:ascii="Times New Roman" w:hAnsi="Times New Roman" w:cs="Times New Roman"/>
          <w:sz w:val="24"/>
          <w:szCs w:val="24"/>
          <w:lang w:val="en-GB"/>
        </w:rPr>
        <w:t>o a regional average of 6.7 percent</w:t>
      </w:r>
      <w:r w:rsidRPr="00926EF3">
        <w:rPr>
          <w:rFonts w:ascii="Times New Roman" w:hAnsi="Times New Roman" w:cs="Times New Roman"/>
          <w:sz w:val="24"/>
          <w:szCs w:val="24"/>
          <w:lang w:val="en-GB"/>
        </w:rPr>
        <w:t>, according to CEPALSTAT.</w:t>
      </w:r>
    </w:p>
  </w:footnote>
  <w:footnote w:id="24">
    <w:p w:rsidR="00C46EB0" w:rsidRPr="00926EF3"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Geoffrey Brennan and James M. Buchanan, </w:t>
      </w:r>
      <w:r w:rsidRPr="00926EF3">
        <w:rPr>
          <w:rFonts w:ascii="Times New Roman" w:hAnsi="Times New Roman" w:cs="Times New Roman"/>
          <w:i/>
          <w:sz w:val="24"/>
          <w:szCs w:val="24"/>
          <w:lang w:val="en-GB"/>
        </w:rPr>
        <w:t>The Power to Tax: Analytical Foundations of a Fiscal Constitution</w:t>
      </w:r>
      <w:r w:rsidRPr="00926EF3">
        <w:rPr>
          <w:rFonts w:ascii="Times New Roman" w:hAnsi="Times New Roman" w:cs="Times New Roman"/>
          <w:sz w:val="24"/>
          <w:szCs w:val="24"/>
          <w:lang w:val="en-GB"/>
        </w:rPr>
        <w:t xml:space="preserve"> (Cambridge: Cambridge University Press, 1980); Jonathan </w:t>
      </w:r>
      <w:proofErr w:type="spellStart"/>
      <w:r w:rsidRPr="00926EF3">
        <w:rPr>
          <w:rFonts w:ascii="Times New Roman" w:hAnsi="Times New Roman" w:cs="Times New Roman"/>
          <w:sz w:val="24"/>
          <w:szCs w:val="24"/>
          <w:lang w:val="en-GB"/>
        </w:rPr>
        <w:t>Rodden</w:t>
      </w:r>
      <w:proofErr w:type="spellEnd"/>
      <w:r w:rsidRPr="00926EF3">
        <w:rPr>
          <w:rFonts w:ascii="Times New Roman" w:hAnsi="Times New Roman" w:cs="Times New Roman"/>
          <w:sz w:val="24"/>
          <w:szCs w:val="24"/>
          <w:lang w:val="en-GB"/>
        </w:rPr>
        <w:t>, ‘Revising Leviathan: Fiscal Federali</w:t>
      </w:r>
      <w:r>
        <w:rPr>
          <w:rFonts w:ascii="Times New Roman" w:hAnsi="Times New Roman" w:cs="Times New Roman"/>
          <w:sz w:val="24"/>
          <w:szCs w:val="24"/>
          <w:lang w:val="en-GB"/>
        </w:rPr>
        <w:t>sm and the Growth of Government</w:t>
      </w:r>
      <w:r w:rsidRPr="00926EF3">
        <w:rPr>
          <w:rFonts w:ascii="Times New Roman" w:hAnsi="Times New Roman" w:cs="Times New Roman"/>
          <w:sz w:val="24"/>
          <w:szCs w:val="24"/>
          <w:lang w:val="en-GB"/>
        </w:rPr>
        <w:t>’</w:t>
      </w:r>
      <w:r>
        <w:rPr>
          <w:rFonts w:ascii="Times New Roman" w:hAnsi="Times New Roman" w:cs="Times New Roman"/>
          <w:sz w:val="24"/>
          <w:szCs w:val="24"/>
          <w:lang w:val="en-GB"/>
        </w:rPr>
        <w:t>,</w:t>
      </w:r>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International Organisation</w:t>
      </w:r>
      <w:r w:rsidRPr="00926EF3">
        <w:rPr>
          <w:rFonts w:ascii="Times New Roman" w:hAnsi="Times New Roman" w:cs="Times New Roman"/>
          <w:sz w:val="24"/>
          <w:szCs w:val="24"/>
          <w:lang w:val="en-GB"/>
        </w:rPr>
        <w:t xml:space="preserve"> 57 (2003), pp. 695-729.</w:t>
      </w:r>
    </w:p>
  </w:footnote>
  <w:footnote w:id="25">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Ernesto Stein, ‘Fiscal Decentralization and Government Size in Latin America’, </w:t>
      </w:r>
      <w:r w:rsidRPr="00926EF3">
        <w:rPr>
          <w:rFonts w:ascii="Times New Roman" w:hAnsi="Times New Roman" w:cs="Times New Roman"/>
          <w:i/>
          <w:sz w:val="24"/>
          <w:szCs w:val="24"/>
          <w:lang w:val="en-GB"/>
        </w:rPr>
        <w:t>Journal of Applied Economics</w:t>
      </w:r>
      <w:r w:rsidRPr="00926EF3">
        <w:rPr>
          <w:rFonts w:ascii="Times New Roman" w:hAnsi="Times New Roman" w:cs="Times New Roman"/>
          <w:sz w:val="24"/>
          <w:szCs w:val="24"/>
          <w:lang w:val="en-GB"/>
        </w:rPr>
        <w:t xml:space="preserve"> II: 2 (1999), p</w:t>
      </w:r>
      <w:r>
        <w:rPr>
          <w:rFonts w:ascii="Times New Roman" w:hAnsi="Times New Roman" w:cs="Times New Roman"/>
          <w:sz w:val="24"/>
          <w:szCs w:val="24"/>
          <w:lang w:val="en-GB"/>
        </w:rPr>
        <w:t>p. 357-</w:t>
      </w:r>
      <w:r w:rsidRPr="00926EF3">
        <w:rPr>
          <w:rFonts w:ascii="Times New Roman" w:hAnsi="Times New Roman" w:cs="Times New Roman"/>
          <w:sz w:val="24"/>
          <w:szCs w:val="24"/>
          <w:lang w:val="en-GB"/>
        </w:rPr>
        <w:t>91.</w:t>
      </w:r>
    </w:p>
  </w:footnote>
  <w:footnote w:id="26">
    <w:p w:rsidR="00C46EB0" w:rsidRPr="004E5D7A"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Diaz-</w:t>
      </w:r>
      <w:proofErr w:type="spellStart"/>
      <w:r w:rsidRPr="00926EF3">
        <w:rPr>
          <w:rFonts w:ascii="Times New Roman" w:hAnsi="Times New Roman" w:cs="Times New Roman"/>
          <w:sz w:val="24"/>
          <w:szCs w:val="24"/>
          <w:lang w:val="en-GB"/>
        </w:rPr>
        <w:t>Cayeros</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Federalism, Fiscal Authority, and Centralization</w:t>
      </w:r>
      <w:r>
        <w:rPr>
          <w:rFonts w:ascii="Times New Roman" w:hAnsi="Times New Roman" w:cs="Times New Roman"/>
          <w:sz w:val="24"/>
          <w:szCs w:val="24"/>
          <w:lang w:val="en-GB"/>
        </w:rPr>
        <w:t>.</w:t>
      </w:r>
    </w:p>
  </w:footnote>
  <w:footnote w:id="27">
    <w:p w:rsidR="00C46EB0" w:rsidRPr="00926EF3"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iCs/>
          <w:sz w:val="24"/>
          <w:szCs w:val="24"/>
          <w:lang w:val="en-GB"/>
        </w:rPr>
        <w:t xml:space="preserve"> Mauricio Cárdenas, ‘State Capacity in Latin America’, </w:t>
      </w:r>
      <w:proofErr w:type="spellStart"/>
      <w:r w:rsidRPr="00926EF3">
        <w:rPr>
          <w:rFonts w:ascii="Times New Roman" w:hAnsi="Times New Roman" w:cs="Times New Roman"/>
          <w:i/>
          <w:iCs/>
          <w:sz w:val="24"/>
          <w:szCs w:val="24"/>
          <w:lang w:val="en-GB"/>
        </w:rPr>
        <w:t>Economía</w:t>
      </w:r>
      <w:proofErr w:type="spellEnd"/>
      <w:r w:rsidRPr="00926EF3">
        <w:rPr>
          <w:rFonts w:ascii="Times New Roman" w:hAnsi="Times New Roman" w:cs="Times New Roman"/>
          <w:iCs/>
          <w:sz w:val="24"/>
          <w:szCs w:val="24"/>
          <w:lang w:val="en-GB"/>
        </w:rPr>
        <w:t xml:space="preserve"> 10: 2 (2010), pp. 1-45; </w:t>
      </w:r>
      <w:proofErr w:type="spellStart"/>
      <w:r w:rsidRPr="00926EF3">
        <w:rPr>
          <w:rFonts w:ascii="Times New Roman" w:hAnsi="Times New Roman" w:cs="Times New Roman"/>
          <w:iCs/>
          <w:sz w:val="24"/>
          <w:szCs w:val="24"/>
          <w:lang w:val="en-GB"/>
        </w:rPr>
        <w:t>Besley</w:t>
      </w:r>
      <w:proofErr w:type="spellEnd"/>
      <w:r w:rsidRPr="00926EF3">
        <w:rPr>
          <w:rFonts w:ascii="Times New Roman" w:hAnsi="Times New Roman" w:cs="Times New Roman"/>
          <w:iCs/>
          <w:sz w:val="24"/>
          <w:szCs w:val="24"/>
          <w:lang w:val="en-GB"/>
        </w:rPr>
        <w:t xml:space="preserve"> and </w:t>
      </w:r>
      <w:proofErr w:type="spellStart"/>
      <w:r w:rsidRPr="00926EF3">
        <w:rPr>
          <w:rFonts w:ascii="Times New Roman" w:hAnsi="Times New Roman" w:cs="Times New Roman"/>
          <w:iCs/>
          <w:sz w:val="24"/>
          <w:szCs w:val="24"/>
          <w:lang w:val="en-GB"/>
        </w:rPr>
        <w:t>Persson</w:t>
      </w:r>
      <w:proofErr w:type="spellEnd"/>
      <w:r w:rsidRPr="00926EF3">
        <w:rPr>
          <w:rFonts w:ascii="Times New Roman" w:hAnsi="Times New Roman" w:cs="Times New Roman"/>
          <w:iCs/>
          <w:sz w:val="24"/>
          <w:szCs w:val="24"/>
          <w:lang w:val="en-GB"/>
        </w:rPr>
        <w:t>, ‘T</w:t>
      </w:r>
      <w:r>
        <w:rPr>
          <w:rFonts w:ascii="Times New Roman" w:hAnsi="Times New Roman" w:cs="Times New Roman"/>
          <w:iCs/>
          <w:sz w:val="24"/>
          <w:szCs w:val="24"/>
          <w:lang w:val="en-GB"/>
        </w:rPr>
        <w:t>axation and Development’</w:t>
      </w:r>
      <w:r w:rsidRPr="00926EF3">
        <w:rPr>
          <w:rFonts w:ascii="Times New Roman" w:hAnsi="Times New Roman" w:cs="Times New Roman"/>
          <w:iCs/>
          <w:sz w:val="24"/>
          <w:szCs w:val="24"/>
          <w:lang w:val="en-GB"/>
        </w:rPr>
        <w:t xml:space="preserve">. For a dissenting view, see José Antonio </w:t>
      </w:r>
      <w:proofErr w:type="spellStart"/>
      <w:r w:rsidRPr="00926EF3">
        <w:rPr>
          <w:rFonts w:ascii="Times New Roman" w:hAnsi="Times New Roman" w:cs="Times New Roman"/>
          <w:iCs/>
          <w:sz w:val="24"/>
          <w:szCs w:val="24"/>
          <w:lang w:val="en-GB"/>
        </w:rPr>
        <w:t>Cheibub</w:t>
      </w:r>
      <w:proofErr w:type="spellEnd"/>
      <w:r w:rsidRPr="00926EF3">
        <w:rPr>
          <w:rFonts w:ascii="Times New Roman" w:hAnsi="Times New Roman" w:cs="Times New Roman"/>
          <w:iCs/>
          <w:sz w:val="24"/>
          <w:szCs w:val="24"/>
          <w:lang w:val="en-GB"/>
        </w:rPr>
        <w:t xml:space="preserve">, ‘Political Regimes and the Extractive Capacity of Governments: Taxation in Democracies and Dictatorships’, </w:t>
      </w:r>
      <w:r w:rsidRPr="00926EF3">
        <w:rPr>
          <w:rFonts w:ascii="Times New Roman" w:hAnsi="Times New Roman" w:cs="Times New Roman"/>
          <w:i/>
          <w:iCs/>
          <w:sz w:val="24"/>
          <w:szCs w:val="24"/>
          <w:lang w:val="en-GB"/>
        </w:rPr>
        <w:t>World Politics</w:t>
      </w:r>
      <w:r>
        <w:rPr>
          <w:rFonts w:ascii="Times New Roman" w:hAnsi="Times New Roman" w:cs="Times New Roman"/>
          <w:iCs/>
          <w:sz w:val="24"/>
          <w:szCs w:val="24"/>
          <w:lang w:val="en-GB"/>
        </w:rPr>
        <w:t xml:space="preserve"> 50: 3 (1998), pp. 349-</w:t>
      </w:r>
      <w:r w:rsidRPr="00926EF3">
        <w:rPr>
          <w:rFonts w:ascii="Times New Roman" w:hAnsi="Times New Roman" w:cs="Times New Roman"/>
          <w:iCs/>
          <w:sz w:val="24"/>
          <w:szCs w:val="24"/>
          <w:lang w:val="en-GB"/>
        </w:rPr>
        <w:t>76.</w:t>
      </w:r>
    </w:p>
  </w:footnote>
  <w:footnote w:id="28">
    <w:p w:rsidR="00C46EB0" w:rsidRPr="00926EF3"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Paul Drake, </w:t>
      </w:r>
      <w:r w:rsidRPr="00926EF3">
        <w:rPr>
          <w:rFonts w:ascii="Times New Roman" w:hAnsi="Times New Roman" w:cs="Times New Roman"/>
          <w:i/>
          <w:sz w:val="24"/>
          <w:szCs w:val="24"/>
          <w:lang w:val="en-GB"/>
        </w:rPr>
        <w:t>Between Tyranny and Anarchy: A Histor</w:t>
      </w:r>
      <w:r>
        <w:rPr>
          <w:rFonts w:ascii="Times New Roman" w:hAnsi="Times New Roman" w:cs="Times New Roman"/>
          <w:i/>
          <w:sz w:val="24"/>
          <w:szCs w:val="24"/>
          <w:lang w:val="en-GB"/>
        </w:rPr>
        <w:t>y of Democracy in Latin America</w:t>
      </w:r>
      <w:r w:rsidRPr="00926EF3">
        <w:rPr>
          <w:rFonts w:ascii="Times New Roman" w:hAnsi="Times New Roman" w:cs="Times New Roman"/>
          <w:i/>
          <w:sz w:val="24"/>
          <w:szCs w:val="24"/>
          <w:lang w:val="en-GB"/>
        </w:rPr>
        <w:t>, 1800-2006</w:t>
      </w:r>
      <w:r w:rsidRPr="00926EF3">
        <w:rPr>
          <w:rFonts w:ascii="Times New Roman" w:hAnsi="Times New Roman" w:cs="Times New Roman"/>
          <w:sz w:val="24"/>
          <w:szCs w:val="24"/>
          <w:lang w:val="en-GB"/>
        </w:rPr>
        <w:t xml:space="preserve"> (Stanford: Stanford University Press, 2009), p. 6.</w:t>
      </w:r>
    </w:p>
  </w:footnote>
  <w:footnote w:id="29">
    <w:p w:rsidR="00C46EB0" w:rsidRPr="00926EF3"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Allan H. Meltzer and Scott F. Richard, ‘A Rational Theory of the Size of Government’, </w:t>
      </w:r>
      <w:r w:rsidRPr="00926EF3">
        <w:rPr>
          <w:rFonts w:ascii="Times New Roman" w:hAnsi="Times New Roman" w:cs="Times New Roman"/>
          <w:i/>
          <w:sz w:val="24"/>
          <w:szCs w:val="24"/>
          <w:lang w:val="en-GB"/>
        </w:rPr>
        <w:t>Journal of Political Economy</w:t>
      </w:r>
      <w:r w:rsidRPr="00926EF3">
        <w:rPr>
          <w:rFonts w:ascii="Times New Roman" w:hAnsi="Times New Roman" w:cs="Times New Roman"/>
          <w:sz w:val="24"/>
          <w:szCs w:val="24"/>
          <w:lang w:val="en-GB"/>
        </w:rPr>
        <w:t xml:space="preserve"> 89: 5 (1981). </w:t>
      </w:r>
      <w:r>
        <w:rPr>
          <w:rFonts w:ascii="Times New Roman" w:hAnsi="Times New Roman" w:cs="Times New Roman"/>
          <w:sz w:val="24"/>
          <w:szCs w:val="24"/>
          <w:lang w:val="en-GB"/>
        </w:rPr>
        <w:t xml:space="preserve">pp. </w:t>
      </w:r>
      <w:r w:rsidRPr="00926EF3">
        <w:rPr>
          <w:rFonts w:ascii="Times New Roman" w:hAnsi="Times New Roman" w:cs="Times New Roman"/>
          <w:sz w:val="24"/>
          <w:szCs w:val="24"/>
          <w:lang w:val="en-GB"/>
        </w:rPr>
        <w:t>914-27.</w:t>
      </w:r>
    </w:p>
  </w:footnote>
  <w:footnote w:id="30">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t>
      </w:r>
      <w:r>
        <w:rPr>
          <w:rFonts w:ascii="Times New Roman" w:hAnsi="Times New Roman" w:cs="Times New Roman"/>
          <w:iCs/>
          <w:sz w:val="24"/>
          <w:szCs w:val="24"/>
          <w:lang w:val="en-GB"/>
        </w:rPr>
        <w:t>Cárdenas, ‘State Capacity’</w:t>
      </w:r>
      <w:r w:rsidRPr="00926EF3">
        <w:rPr>
          <w:rFonts w:ascii="Times New Roman" w:hAnsi="Times New Roman" w:cs="Times New Roman"/>
          <w:iCs/>
          <w:sz w:val="24"/>
          <w:szCs w:val="24"/>
          <w:lang w:val="en-GB"/>
        </w:rPr>
        <w:t>.</w:t>
      </w:r>
    </w:p>
  </w:footnote>
  <w:footnote w:id="31">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Carles</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Boix</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Democracy and Redistribution</w:t>
      </w:r>
      <w:r w:rsidRPr="00926EF3">
        <w:rPr>
          <w:rFonts w:ascii="Times New Roman" w:hAnsi="Times New Roman" w:cs="Times New Roman"/>
          <w:sz w:val="24"/>
          <w:szCs w:val="24"/>
          <w:lang w:val="en-GB"/>
        </w:rPr>
        <w:t xml:space="preserve"> (Cambridge: Cambridge University Press, 2003); Daron </w:t>
      </w:r>
      <w:proofErr w:type="spellStart"/>
      <w:r w:rsidRPr="00926EF3">
        <w:rPr>
          <w:rFonts w:ascii="Times New Roman" w:hAnsi="Times New Roman" w:cs="Times New Roman"/>
          <w:sz w:val="24"/>
          <w:szCs w:val="24"/>
          <w:lang w:val="en-GB"/>
        </w:rPr>
        <w:t>Acemoglu</w:t>
      </w:r>
      <w:proofErr w:type="spellEnd"/>
      <w:r w:rsidRPr="00926EF3">
        <w:rPr>
          <w:rFonts w:ascii="Times New Roman" w:hAnsi="Times New Roman" w:cs="Times New Roman"/>
          <w:sz w:val="24"/>
          <w:szCs w:val="24"/>
          <w:lang w:val="en-GB"/>
        </w:rPr>
        <w:t xml:space="preserve"> and James A. Robinson, </w:t>
      </w:r>
      <w:r w:rsidRPr="00926EF3">
        <w:rPr>
          <w:rFonts w:ascii="Times New Roman" w:hAnsi="Times New Roman" w:cs="Times New Roman"/>
          <w:i/>
          <w:sz w:val="24"/>
          <w:szCs w:val="24"/>
          <w:lang w:val="en-GB"/>
        </w:rPr>
        <w:t>Economic Origins of Dictatorship and Democracy</w:t>
      </w:r>
      <w:r w:rsidRPr="00926EF3">
        <w:rPr>
          <w:rFonts w:ascii="Times New Roman" w:hAnsi="Times New Roman" w:cs="Times New Roman"/>
          <w:sz w:val="24"/>
          <w:szCs w:val="24"/>
          <w:lang w:val="en-GB"/>
        </w:rPr>
        <w:t xml:space="preserve"> (Cambridge: Cambridge University Press, 2006).</w:t>
      </w:r>
    </w:p>
  </w:footnote>
  <w:footnote w:id="32">
    <w:p w:rsidR="00C46EB0" w:rsidRPr="007728BA" w:rsidRDefault="00C46EB0" w:rsidP="0075746F">
      <w:pPr>
        <w:spacing w:after="0"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w:t>
      </w:r>
      <w:proofErr w:type="spellStart"/>
      <w:r w:rsidRPr="007728BA">
        <w:rPr>
          <w:rFonts w:ascii="Times New Roman" w:hAnsi="Times New Roman" w:cs="Times New Roman"/>
          <w:sz w:val="24"/>
          <w:szCs w:val="24"/>
          <w:lang w:val="es-CL"/>
        </w:rPr>
        <w:t>Latinobarómetro</w:t>
      </w:r>
      <w:proofErr w:type="spellEnd"/>
      <w:r w:rsidRPr="007728BA">
        <w:rPr>
          <w:rFonts w:ascii="Times New Roman" w:hAnsi="Times New Roman" w:cs="Times New Roman"/>
          <w:sz w:val="24"/>
          <w:szCs w:val="24"/>
          <w:lang w:val="es-CL"/>
        </w:rPr>
        <w:t xml:space="preserve">. </w:t>
      </w:r>
      <w:proofErr w:type="spellStart"/>
      <w:r w:rsidRPr="007728BA">
        <w:rPr>
          <w:rFonts w:ascii="Times New Roman" w:hAnsi="Times New Roman" w:cs="Times New Roman"/>
          <w:sz w:val="24"/>
          <w:szCs w:val="24"/>
          <w:lang w:val="es-CL"/>
        </w:rPr>
        <w:t>Various</w:t>
      </w:r>
      <w:proofErr w:type="spellEnd"/>
      <w:r w:rsidRPr="007728BA">
        <w:rPr>
          <w:rFonts w:ascii="Times New Roman" w:hAnsi="Times New Roman" w:cs="Times New Roman"/>
          <w:sz w:val="24"/>
          <w:szCs w:val="24"/>
          <w:lang w:val="es-CL"/>
        </w:rPr>
        <w:t xml:space="preserve"> </w:t>
      </w:r>
      <w:proofErr w:type="spellStart"/>
      <w:r w:rsidRPr="007728BA">
        <w:rPr>
          <w:rFonts w:ascii="Times New Roman" w:hAnsi="Times New Roman" w:cs="Times New Roman"/>
          <w:sz w:val="24"/>
          <w:szCs w:val="24"/>
          <w:lang w:val="es-CL"/>
        </w:rPr>
        <w:t>years</w:t>
      </w:r>
      <w:proofErr w:type="spellEnd"/>
      <w:r w:rsidRPr="007728BA">
        <w:rPr>
          <w:rFonts w:ascii="Times New Roman" w:hAnsi="Times New Roman" w:cs="Times New Roman"/>
          <w:sz w:val="24"/>
          <w:szCs w:val="24"/>
          <w:lang w:val="es-CL"/>
        </w:rPr>
        <w:t>. Análisis de resultados en línea. http://www.latinobarometro.org/latino/LATAnalize.jsp.</w:t>
      </w:r>
    </w:p>
  </w:footnote>
  <w:footnote w:id="33">
    <w:p w:rsidR="00C46EB0" w:rsidRPr="00926EF3" w:rsidRDefault="00C46EB0" w:rsidP="00301422">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Charles Tilly, </w:t>
      </w:r>
      <w:r w:rsidRPr="00926EF3">
        <w:rPr>
          <w:rFonts w:ascii="Times New Roman" w:hAnsi="Times New Roman" w:cs="Times New Roman"/>
          <w:i/>
          <w:sz w:val="24"/>
          <w:szCs w:val="24"/>
          <w:lang w:val="en-GB"/>
        </w:rPr>
        <w:t>Coercion, Capital and European States: AD 990 – 1992</w:t>
      </w:r>
      <w:r w:rsidRPr="00926EF3">
        <w:rPr>
          <w:rFonts w:ascii="Times New Roman" w:hAnsi="Times New Roman" w:cs="Times New Roman"/>
          <w:sz w:val="24"/>
          <w:szCs w:val="24"/>
          <w:lang w:val="en-GB"/>
        </w:rPr>
        <w:t xml:space="preserve"> (Oxford: Basil Blackwell, 1990).</w:t>
      </w:r>
    </w:p>
  </w:footnote>
  <w:footnote w:id="34">
    <w:p w:rsidR="00C46EB0" w:rsidRPr="00926EF3" w:rsidRDefault="00C46EB0" w:rsidP="00301422">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Miguel Angel Centeno, </w:t>
      </w:r>
      <w:r w:rsidRPr="00926EF3">
        <w:rPr>
          <w:rFonts w:ascii="Times New Roman" w:hAnsi="Times New Roman" w:cs="Times New Roman"/>
          <w:i/>
          <w:sz w:val="24"/>
          <w:szCs w:val="24"/>
          <w:lang w:val="en-GB"/>
        </w:rPr>
        <w:t>Blood and Debt: War and the Nation-State in Latin America</w:t>
      </w:r>
      <w:r w:rsidRPr="00926EF3">
        <w:rPr>
          <w:rFonts w:ascii="Times New Roman" w:hAnsi="Times New Roman" w:cs="Times New Roman"/>
          <w:sz w:val="24"/>
          <w:szCs w:val="24"/>
          <w:lang w:val="en-GB"/>
        </w:rPr>
        <w:t xml:space="preserve"> (University Park: Penn State University Press, 2003); Kurtz, </w:t>
      </w:r>
      <w:r w:rsidRPr="00926EF3">
        <w:rPr>
          <w:rFonts w:ascii="Times New Roman" w:hAnsi="Times New Roman" w:cs="Times New Roman"/>
          <w:i/>
          <w:sz w:val="24"/>
          <w:szCs w:val="24"/>
          <w:lang w:val="en-GB"/>
        </w:rPr>
        <w:t>Latin American State Building</w:t>
      </w:r>
      <w:r w:rsidRPr="00926EF3">
        <w:rPr>
          <w:rFonts w:ascii="Times New Roman" w:hAnsi="Times New Roman" w:cs="Times New Roman"/>
          <w:sz w:val="24"/>
          <w:szCs w:val="24"/>
          <w:lang w:val="en-GB"/>
        </w:rPr>
        <w:t>.</w:t>
      </w:r>
    </w:p>
  </w:footnote>
  <w:footnote w:id="35">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Benno </w:t>
      </w:r>
      <w:proofErr w:type="spellStart"/>
      <w:r w:rsidRPr="00926EF3">
        <w:rPr>
          <w:rFonts w:ascii="Times New Roman" w:hAnsi="Times New Roman" w:cs="Times New Roman"/>
          <w:sz w:val="24"/>
          <w:szCs w:val="24"/>
          <w:lang w:val="en-GB"/>
        </w:rPr>
        <w:t>Torgler</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Tax Compliance and Tax Morale: A Theoretical and Empirical Analysis</w:t>
      </w:r>
      <w:r w:rsidRPr="00926EF3">
        <w:rPr>
          <w:rFonts w:ascii="Times New Roman" w:hAnsi="Times New Roman" w:cs="Times New Roman"/>
          <w:sz w:val="24"/>
          <w:szCs w:val="24"/>
          <w:lang w:val="en-GB"/>
        </w:rPr>
        <w:t xml:space="preserve">. (Cheltenham: Edward Elgar, 2007); Marcelo Bergman, </w:t>
      </w:r>
      <w:r w:rsidRPr="00926EF3">
        <w:rPr>
          <w:rFonts w:ascii="Times New Roman" w:hAnsi="Times New Roman" w:cs="Times New Roman"/>
          <w:i/>
          <w:sz w:val="24"/>
          <w:szCs w:val="24"/>
          <w:lang w:val="en-GB"/>
        </w:rPr>
        <w:t>Tax Evasion and the Rule of Law in Latin America: The Political Culture of Cheating and Compliance in Argentina and Chile</w:t>
      </w:r>
      <w:r w:rsidRPr="00926EF3">
        <w:rPr>
          <w:rFonts w:ascii="Times New Roman" w:hAnsi="Times New Roman" w:cs="Times New Roman"/>
          <w:sz w:val="24"/>
          <w:szCs w:val="24"/>
          <w:lang w:val="en-GB"/>
        </w:rPr>
        <w:t xml:space="preserve"> (University Park: Penn State University Press, 2009).</w:t>
      </w:r>
    </w:p>
  </w:footnote>
  <w:footnote w:id="36">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Latinobarometro</w:t>
      </w:r>
      <w:proofErr w:type="spellEnd"/>
      <w:r w:rsidRPr="00926EF3">
        <w:rPr>
          <w:rFonts w:ascii="Times New Roman" w:hAnsi="Times New Roman" w:cs="Times New Roman"/>
          <w:sz w:val="24"/>
          <w:szCs w:val="24"/>
          <w:lang w:val="en-GB"/>
        </w:rPr>
        <w:t>.</w:t>
      </w:r>
    </w:p>
  </w:footnote>
  <w:footnote w:id="37">
    <w:p w:rsidR="00C46EB0" w:rsidRPr="00926EF3" w:rsidRDefault="00C46EB0" w:rsidP="00B55D1B">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James </w:t>
      </w:r>
      <w:proofErr w:type="spellStart"/>
      <w:r w:rsidRPr="00926EF3">
        <w:rPr>
          <w:rFonts w:ascii="Times New Roman" w:hAnsi="Times New Roman" w:cs="Times New Roman"/>
          <w:sz w:val="24"/>
          <w:szCs w:val="24"/>
          <w:lang w:val="en-GB"/>
        </w:rPr>
        <w:t>Alm</w:t>
      </w:r>
      <w:proofErr w:type="spellEnd"/>
      <w:r w:rsidRPr="00926EF3">
        <w:rPr>
          <w:rFonts w:ascii="Times New Roman" w:hAnsi="Times New Roman" w:cs="Times New Roman"/>
          <w:sz w:val="24"/>
          <w:szCs w:val="24"/>
          <w:lang w:val="en-GB"/>
        </w:rPr>
        <w:t xml:space="preserve"> and Jorge Martinez-Vazquez, ‘Tax Morale and Tax Evasion in Latin America’, Andrew Young School of Public Po</w:t>
      </w:r>
      <w:r>
        <w:rPr>
          <w:rFonts w:ascii="Times New Roman" w:hAnsi="Times New Roman" w:cs="Times New Roman"/>
          <w:sz w:val="24"/>
          <w:szCs w:val="24"/>
          <w:lang w:val="en-GB"/>
        </w:rPr>
        <w:t>licy, 2007</w:t>
      </w:r>
      <w:r w:rsidRPr="00926EF3">
        <w:rPr>
          <w:rFonts w:ascii="Times New Roman" w:hAnsi="Times New Roman" w:cs="Times New Roman"/>
          <w:sz w:val="24"/>
          <w:szCs w:val="24"/>
          <w:lang w:val="en-GB"/>
        </w:rPr>
        <w:t>, p. 70; Mexico figure calculated from raw data.</w:t>
      </w:r>
    </w:p>
  </w:footnote>
  <w:footnote w:id="38">
    <w:p w:rsidR="00C46EB0" w:rsidRPr="00926EF3" w:rsidRDefault="00C46EB0" w:rsidP="00E32569">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Ross, ‘Does Oil Hinder Democracy?</w:t>
      </w:r>
      <w:proofErr w:type="gramStart"/>
      <w:r w:rsidRPr="00926EF3">
        <w:rPr>
          <w:rFonts w:ascii="Times New Roman" w:hAnsi="Times New Roman" w:cs="Times New Roman"/>
          <w:sz w:val="24"/>
          <w:szCs w:val="24"/>
          <w:lang w:val="en-GB"/>
        </w:rPr>
        <w:t>’,</w:t>
      </w:r>
      <w:proofErr w:type="gram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World Politics</w:t>
      </w:r>
      <w:r w:rsidRPr="00926EF3">
        <w:rPr>
          <w:rFonts w:ascii="Times New Roman" w:hAnsi="Times New Roman" w:cs="Times New Roman"/>
          <w:sz w:val="24"/>
          <w:szCs w:val="24"/>
          <w:lang w:val="en-GB"/>
        </w:rPr>
        <w:t xml:space="preserve"> 53: 3 (2001), 325-61.</w:t>
      </w:r>
    </w:p>
  </w:footnote>
  <w:footnote w:id="39">
    <w:p w:rsidR="00C46EB0" w:rsidRPr="007728BA" w:rsidRDefault="00C46EB0" w:rsidP="00E32569">
      <w:pPr>
        <w:spacing w:after="0"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Leticia </w:t>
      </w:r>
      <w:proofErr w:type="spellStart"/>
      <w:r w:rsidRPr="007728BA">
        <w:rPr>
          <w:rFonts w:ascii="Times New Roman" w:hAnsi="Times New Roman" w:cs="Times New Roman"/>
          <w:sz w:val="24"/>
          <w:szCs w:val="24"/>
          <w:lang w:val="es-CL"/>
        </w:rPr>
        <w:t>Patrucchi</w:t>
      </w:r>
      <w:proofErr w:type="spellEnd"/>
      <w:r w:rsidRPr="007728BA">
        <w:rPr>
          <w:rFonts w:ascii="Times New Roman" w:hAnsi="Times New Roman" w:cs="Times New Roman"/>
          <w:sz w:val="24"/>
          <w:szCs w:val="24"/>
          <w:lang w:val="es-CL"/>
        </w:rPr>
        <w:t xml:space="preserve"> and Leonardo </w:t>
      </w:r>
      <w:proofErr w:type="spellStart"/>
      <w:r w:rsidRPr="007728BA">
        <w:rPr>
          <w:rFonts w:ascii="Times New Roman" w:hAnsi="Times New Roman" w:cs="Times New Roman"/>
          <w:sz w:val="24"/>
          <w:szCs w:val="24"/>
          <w:lang w:val="es-CL"/>
        </w:rPr>
        <w:t>Grottola</w:t>
      </w:r>
      <w:proofErr w:type="spellEnd"/>
      <w:r w:rsidRPr="007728BA">
        <w:rPr>
          <w:rFonts w:ascii="Times New Roman" w:hAnsi="Times New Roman" w:cs="Times New Roman"/>
          <w:sz w:val="24"/>
          <w:szCs w:val="24"/>
          <w:lang w:val="es-CL"/>
        </w:rPr>
        <w:t xml:space="preserve">, ‘Estructura tributaria, ingresos rentísticos y regresividad en América Latina’, </w:t>
      </w:r>
      <w:proofErr w:type="spellStart"/>
      <w:r w:rsidRPr="007728BA">
        <w:rPr>
          <w:rFonts w:ascii="Times New Roman" w:hAnsi="Times New Roman" w:cs="Times New Roman"/>
          <w:i/>
          <w:sz w:val="24"/>
          <w:szCs w:val="24"/>
          <w:lang w:val="es-CL"/>
        </w:rPr>
        <w:t>Leviathan</w:t>
      </w:r>
      <w:proofErr w:type="spellEnd"/>
      <w:r w:rsidRPr="007728BA">
        <w:rPr>
          <w:rFonts w:ascii="Times New Roman" w:hAnsi="Times New Roman" w:cs="Times New Roman"/>
          <w:sz w:val="24"/>
          <w:szCs w:val="24"/>
          <w:lang w:val="es-CL"/>
        </w:rPr>
        <w:t xml:space="preserve"> 2 (2011), pp. 96-122.</w:t>
      </w:r>
    </w:p>
  </w:footnote>
  <w:footnote w:id="40">
    <w:p w:rsidR="00C46EB0" w:rsidRPr="00926EF3" w:rsidRDefault="00C46EB0" w:rsidP="00E32569">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Pr>
          <w:rFonts w:ascii="Times New Roman" w:hAnsi="Times New Roman" w:cs="Times New Roman"/>
          <w:sz w:val="24"/>
          <w:szCs w:val="24"/>
          <w:lang w:val="en-GB"/>
        </w:rPr>
        <w:t xml:space="preserve"> CIAT-IDB. </w:t>
      </w:r>
      <w:r w:rsidRPr="00926EF3">
        <w:rPr>
          <w:rFonts w:ascii="Times New Roman" w:hAnsi="Times New Roman" w:cs="Times New Roman"/>
          <w:sz w:val="24"/>
          <w:szCs w:val="24"/>
          <w:lang w:val="en-GB"/>
        </w:rPr>
        <w:t>Brazil’s total public revenues in 2008-2012 averaged 36.4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cent of GDP, compared to 30.3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cent in Bolivia and 20.1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cent in Venezuela. Its closest regional rival was actually Uruguay, at 32.7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cent.</w:t>
      </w:r>
      <w:r>
        <w:rPr>
          <w:rFonts w:ascii="Times New Roman" w:hAnsi="Times New Roman" w:cs="Times New Roman"/>
          <w:sz w:val="24"/>
          <w:szCs w:val="24"/>
          <w:lang w:val="en-GB"/>
        </w:rPr>
        <w:t xml:space="preserve"> </w:t>
      </w:r>
    </w:p>
  </w:footnote>
  <w:footnote w:id="41">
    <w:p w:rsidR="00C46EB0" w:rsidRPr="00926EF3" w:rsidRDefault="00C46EB0" w:rsidP="00C00A9B">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David R. Cameron, ‘The Expansion of the Public Economy: A Comparative Analysis’, </w:t>
      </w:r>
      <w:r w:rsidRPr="00926EF3">
        <w:rPr>
          <w:rFonts w:ascii="Times New Roman" w:hAnsi="Times New Roman" w:cs="Times New Roman"/>
          <w:i/>
          <w:sz w:val="24"/>
          <w:szCs w:val="24"/>
          <w:lang w:val="en-GB"/>
        </w:rPr>
        <w:t>The American Political Science Review</w:t>
      </w:r>
      <w:r w:rsidRPr="00926EF3">
        <w:rPr>
          <w:rFonts w:ascii="Times New Roman" w:hAnsi="Times New Roman" w:cs="Times New Roman"/>
          <w:sz w:val="24"/>
          <w:szCs w:val="24"/>
          <w:lang w:val="en-GB"/>
        </w:rPr>
        <w:t xml:space="preserve"> 72: 4 (1978), pp. 1243-61; Sven </w:t>
      </w:r>
      <w:proofErr w:type="spellStart"/>
      <w:r w:rsidRPr="00926EF3">
        <w:rPr>
          <w:rFonts w:ascii="Times New Roman" w:hAnsi="Times New Roman" w:cs="Times New Roman"/>
          <w:sz w:val="24"/>
          <w:szCs w:val="24"/>
          <w:lang w:val="en-GB"/>
        </w:rPr>
        <w:t>Steinmo</w:t>
      </w:r>
      <w:proofErr w:type="spellEnd"/>
      <w:r w:rsidRPr="00926EF3">
        <w:rPr>
          <w:rFonts w:ascii="Times New Roman" w:hAnsi="Times New Roman" w:cs="Times New Roman"/>
          <w:sz w:val="24"/>
          <w:szCs w:val="24"/>
          <w:lang w:val="en-GB"/>
        </w:rPr>
        <w:t xml:space="preserve"> and Caroline J. Tolbert, ‘Do Institutions Really Matter? Taxation in Industrialized Democracies’, </w:t>
      </w:r>
      <w:r w:rsidRPr="00926EF3">
        <w:rPr>
          <w:rFonts w:ascii="Times New Roman" w:hAnsi="Times New Roman" w:cs="Times New Roman"/>
          <w:i/>
          <w:sz w:val="24"/>
          <w:szCs w:val="24"/>
          <w:lang w:val="en-GB"/>
        </w:rPr>
        <w:t>Comparative Political Studies</w:t>
      </w:r>
      <w:r w:rsidRPr="00926EF3">
        <w:rPr>
          <w:rFonts w:ascii="Times New Roman" w:hAnsi="Times New Roman" w:cs="Times New Roman"/>
          <w:sz w:val="24"/>
          <w:szCs w:val="24"/>
          <w:lang w:val="en-GB"/>
        </w:rPr>
        <w:t xml:space="preserve"> 31: 2 (1998), pp. 165-87; Ernesto Stein and Lorena Caro, ‘Ideology and Taxation i</w:t>
      </w:r>
      <w:r>
        <w:rPr>
          <w:rFonts w:ascii="Times New Roman" w:hAnsi="Times New Roman" w:cs="Times New Roman"/>
          <w:sz w:val="24"/>
          <w:szCs w:val="24"/>
          <w:lang w:val="en-GB"/>
        </w:rPr>
        <w:t>n Latin America’, IDB Working Paper 407</w:t>
      </w:r>
      <w:r w:rsidRPr="00926EF3">
        <w:rPr>
          <w:rFonts w:ascii="Times New Roman" w:hAnsi="Times New Roman" w:cs="Times New Roman"/>
          <w:sz w:val="24"/>
          <w:szCs w:val="24"/>
          <w:lang w:val="en-GB"/>
        </w:rPr>
        <w:t>, 2013.</w:t>
      </w:r>
    </w:p>
  </w:footnote>
  <w:footnote w:id="42">
    <w:p w:rsidR="00C46EB0" w:rsidRPr="00926EF3" w:rsidRDefault="00C46EB0" w:rsidP="00C00A9B">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Evelyne Huber and John D. Stephens, </w:t>
      </w:r>
      <w:r w:rsidRPr="00926EF3">
        <w:rPr>
          <w:rFonts w:ascii="Times New Roman" w:hAnsi="Times New Roman" w:cs="Times New Roman"/>
          <w:i/>
          <w:sz w:val="24"/>
          <w:szCs w:val="24"/>
          <w:lang w:val="en-GB"/>
        </w:rPr>
        <w:t>Democracy and the Left: Social Policy and Inequality in Latin America</w:t>
      </w:r>
      <w:r w:rsidRPr="00926EF3">
        <w:rPr>
          <w:rFonts w:ascii="Times New Roman" w:hAnsi="Times New Roman" w:cs="Times New Roman"/>
          <w:sz w:val="24"/>
          <w:szCs w:val="24"/>
          <w:lang w:val="en-GB"/>
        </w:rPr>
        <w:t xml:space="preserve"> (Chicago: University of Chicago, 2012); Walter </w:t>
      </w:r>
      <w:proofErr w:type="spellStart"/>
      <w:r w:rsidRPr="00926EF3">
        <w:rPr>
          <w:rFonts w:ascii="Times New Roman" w:hAnsi="Times New Roman" w:cs="Times New Roman"/>
          <w:sz w:val="24"/>
          <w:szCs w:val="24"/>
          <w:lang w:val="en-GB"/>
        </w:rPr>
        <w:t>Korpi</w:t>
      </w:r>
      <w:proofErr w:type="spellEnd"/>
      <w:r w:rsidRPr="00926EF3">
        <w:rPr>
          <w:rFonts w:ascii="Times New Roman" w:hAnsi="Times New Roman" w:cs="Times New Roman"/>
          <w:sz w:val="24"/>
          <w:szCs w:val="24"/>
          <w:lang w:val="en-GB"/>
        </w:rPr>
        <w:t xml:space="preserve">, </w:t>
      </w:r>
      <w:proofErr w:type="gramStart"/>
      <w:r w:rsidRPr="00926EF3">
        <w:rPr>
          <w:rFonts w:ascii="Times New Roman" w:hAnsi="Times New Roman" w:cs="Times New Roman"/>
          <w:i/>
          <w:sz w:val="24"/>
          <w:szCs w:val="24"/>
          <w:lang w:val="en-GB"/>
        </w:rPr>
        <w:t>The</w:t>
      </w:r>
      <w:proofErr w:type="gramEnd"/>
      <w:r w:rsidRPr="00926EF3">
        <w:rPr>
          <w:rFonts w:ascii="Times New Roman" w:hAnsi="Times New Roman" w:cs="Times New Roman"/>
          <w:i/>
          <w:sz w:val="24"/>
          <w:szCs w:val="24"/>
          <w:lang w:val="en-GB"/>
        </w:rPr>
        <w:t xml:space="preserve"> Democratic Class Struggle</w:t>
      </w:r>
      <w:r w:rsidRPr="00926EF3">
        <w:rPr>
          <w:rFonts w:ascii="Times New Roman" w:hAnsi="Times New Roman" w:cs="Times New Roman"/>
          <w:sz w:val="24"/>
          <w:szCs w:val="24"/>
          <w:lang w:val="en-GB"/>
        </w:rPr>
        <w:t xml:space="preserve"> (London: Routledge, 1983).</w:t>
      </w:r>
    </w:p>
  </w:footnote>
  <w:footnote w:id="43">
    <w:p w:rsidR="00C46EB0" w:rsidRPr="00926EF3" w:rsidRDefault="00C46EB0" w:rsidP="00C00A9B">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Kenneth M. Roberts, ‘The Politics of Inequality and Redistribution in Latin America's Post-Adjustment </w:t>
      </w:r>
      <w:r>
        <w:rPr>
          <w:rFonts w:ascii="Times New Roman" w:hAnsi="Times New Roman" w:cs="Times New Roman"/>
          <w:sz w:val="24"/>
          <w:szCs w:val="24"/>
          <w:lang w:val="en-GB"/>
        </w:rPr>
        <w:t xml:space="preserve">Era’, </w:t>
      </w:r>
      <w:r w:rsidRPr="00926EF3">
        <w:rPr>
          <w:rFonts w:ascii="Times New Roman" w:hAnsi="Times New Roman" w:cs="Times New Roman"/>
          <w:sz w:val="24"/>
          <w:szCs w:val="24"/>
          <w:lang w:val="en-GB"/>
        </w:rPr>
        <w:t>World Institute for Development Economics Research, 2012, p. 6.</w:t>
      </w:r>
    </w:p>
  </w:footnote>
  <w:footnote w:id="44">
    <w:p w:rsidR="00C46EB0" w:rsidRPr="00EF1B7C" w:rsidRDefault="00C46EB0" w:rsidP="00C00A9B">
      <w:pPr>
        <w:pStyle w:val="FootnoteText"/>
        <w:spacing w:line="480" w:lineRule="auto"/>
        <w:rPr>
          <w:rFonts w:ascii="Times New Roman" w:hAnsi="Times New Roman" w:cs="Times New Roman"/>
          <w:sz w:val="24"/>
          <w:szCs w:val="24"/>
        </w:rPr>
      </w:pPr>
      <w:r w:rsidRPr="00EF1B7C">
        <w:rPr>
          <w:rStyle w:val="FootnoteReference"/>
          <w:rFonts w:ascii="Times New Roman" w:hAnsi="Times New Roman" w:cs="Times New Roman"/>
          <w:sz w:val="24"/>
          <w:szCs w:val="24"/>
        </w:rPr>
        <w:footnoteRef/>
      </w:r>
      <w:r w:rsidRPr="00EF1B7C">
        <w:rPr>
          <w:rFonts w:ascii="Times New Roman" w:hAnsi="Times New Roman" w:cs="Times New Roman"/>
          <w:sz w:val="24"/>
          <w:szCs w:val="24"/>
        </w:rPr>
        <w:t xml:space="preserve"> Tasha Fairfield, ‘Business Power and Tax Reform: Taxing Income and Profits in Chile and Argentina’, </w:t>
      </w:r>
      <w:r w:rsidRPr="00EF1B7C">
        <w:rPr>
          <w:rFonts w:ascii="Times New Roman" w:hAnsi="Times New Roman" w:cs="Times New Roman"/>
          <w:i/>
          <w:sz w:val="24"/>
          <w:szCs w:val="24"/>
        </w:rPr>
        <w:t>Latin American Politics and Society</w:t>
      </w:r>
      <w:r>
        <w:rPr>
          <w:rFonts w:ascii="Times New Roman" w:hAnsi="Times New Roman" w:cs="Times New Roman"/>
          <w:sz w:val="24"/>
          <w:szCs w:val="24"/>
        </w:rPr>
        <w:t xml:space="preserve"> 52: 2 (2010), pp. 51-71; </w:t>
      </w:r>
      <w:r w:rsidRPr="000D01A0">
        <w:rPr>
          <w:rFonts w:ascii="Times New Roman" w:hAnsi="Times New Roman" w:cs="Times New Roman"/>
          <w:i/>
          <w:sz w:val="24"/>
          <w:szCs w:val="24"/>
        </w:rPr>
        <w:t>Private Wealth and Public Revenue in Latin America: Business Power and Tax Politics</w:t>
      </w:r>
      <w:r>
        <w:rPr>
          <w:rFonts w:ascii="Times New Roman" w:hAnsi="Times New Roman" w:cs="Times New Roman"/>
          <w:sz w:val="24"/>
          <w:szCs w:val="24"/>
        </w:rPr>
        <w:t xml:space="preserve"> (Cambridge: Cambridge University Press, 2015).</w:t>
      </w:r>
      <w:r w:rsidRPr="00EF1B7C">
        <w:rPr>
          <w:rFonts w:ascii="Times New Roman" w:hAnsi="Times New Roman" w:cs="Times New Roman"/>
          <w:sz w:val="24"/>
          <w:szCs w:val="24"/>
        </w:rPr>
        <w:t xml:space="preserve">  </w:t>
      </w:r>
    </w:p>
  </w:footnote>
  <w:footnote w:id="45">
    <w:p w:rsidR="00C46EB0" w:rsidRPr="00EF1B7C" w:rsidRDefault="00C46EB0" w:rsidP="00C00A9B">
      <w:pPr>
        <w:pStyle w:val="FootnoteText"/>
        <w:spacing w:line="480" w:lineRule="auto"/>
        <w:rPr>
          <w:rFonts w:ascii="Times New Roman" w:hAnsi="Times New Roman" w:cs="Times New Roman"/>
          <w:sz w:val="24"/>
          <w:szCs w:val="24"/>
        </w:rPr>
      </w:pPr>
      <w:r w:rsidRPr="00EF1B7C">
        <w:rPr>
          <w:rStyle w:val="FootnoteReference"/>
          <w:rFonts w:ascii="Times New Roman" w:hAnsi="Times New Roman" w:cs="Times New Roman"/>
          <w:sz w:val="24"/>
          <w:szCs w:val="24"/>
        </w:rPr>
        <w:footnoteRef/>
      </w:r>
      <w:r w:rsidRPr="00EF1B7C">
        <w:rPr>
          <w:rFonts w:ascii="Times New Roman" w:hAnsi="Times New Roman" w:cs="Times New Roman"/>
          <w:sz w:val="24"/>
          <w:szCs w:val="24"/>
        </w:rPr>
        <w:t xml:space="preserve"> Aaron Schneider, </w:t>
      </w:r>
      <w:r w:rsidRPr="00EF1B7C">
        <w:rPr>
          <w:rFonts w:ascii="Times New Roman" w:hAnsi="Times New Roman" w:cs="Times New Roman"/>
          <w:i/>
          <w:sz w:val="24"/>
          <w:szCs w:val="24"/>
        </w:rPr>
        <w:t>State-Building and Tax Regimes in Central America</w:t>
      </w:r>
      <w:r w:rsidRPr="00EF1B7C">
        <w:rPr>
          <w:rFonts w:ascii="Times New Roman" w:hAnsi="Times New Roman" w:cs="Times New Roman"/>
          <w:sz w:val="24"/>
          <w:szCs w:val="24"/>
        </w:rPr>
        <w:t xml:space="preserve"> (Cambridge: Cambridge University Press, 2013).</w:t>
      </w:r>
    </w:p>
  </w:footnote>
  <w:footnote w:id="46">
    <w:p w:rsidR="00C46EB0" w:rsidRPr="00374BEF" w:rsidRDefault="00C46EB0" w:rsidP="00C00A9B">
      <w:pPr>
        <w:pStyle w:val="FootnoteText"/>
        <w:spacing w:line="480" w:lineRule="auto"/>
        <w:rPr>
          <w:rFonts w:ascii="Times New Roman" w:hAnsi="Times New Roman" w:cs="Times New Roman"/>
          <w:sz w:val="24"/>
          <w:szCs w:val="24"/>
        </w:rPr>
      </w:pPr>
      <w:r w:rsidRPr="00374BEF">
        <w:rPr>
          <w:rStyle w:val="FootnoteReference"/>
          <w:rFonts w:ascii="Times New Roman" w:hAnsi="Times New Roman" w:cs="Times New Roman"/>
          <w:sz w:val="24"/>
          <w:szCs w:val="24"/>
        </w:rPr>
        <w:footnoteRef/>
      </w:r>
      <w:r w:rsidRPr="00374BEF">
        <w:rPr>
          <w:rFonts w:ascii="Times New Roman" w:hAnsi="Times New Roman" w:cs="Times New Roman"/>
          <w:sz w:val="24"/>
          <w:szCs w:val="24"/>
        </w:rPr>
        <w:t xml:space="preserve"> Lieberman, </w:t>
      </w:r>
      <w:r w:rsidRPr="00374BEF">
        <w:rPr>
          <w:rFonts w:ascii="Times New Roman" w:hAnsi="Times New Roman" w:cs="Times New Roman"/>
          <w:i/>
          <w:sz w:val="24"/>
          <w:szCs w:val="24"/>
        </w:rPr>
        <w:t>Race and Regionalism</w:t>
      </w:r>
      <w:r w:rsidRPr="00374BEF">
        <w:rPr>
          <w:rFonts w:ascii="Times New Roman" w:hAnsi="Times New Roman" w:cs="Times New Roman"/>
          <w:sz w:val="24"/>
          <w:szCs w:val="24"/>
        </w:rPr>
        <w:t>; Gustavo Flores-</w:t>
      </w:r>
      <w:proofErr w:type="spellStart"/>
      <w:r w:rsidRPr="00374BEF">
        <w:rPr>
          <w:rFonts w:ascii="Times New Roman" w:hAnsi="Times New Roman" w:cs="Times New Roman"/>
          <w:sz w:val="24"/>
          <w:szCs w:val="24"/>
        </w:rPr>
        <w:t>Macías</w:t>
      </w:r>
      <w:proofErr w:type="spellEnd"/>
      <w:r w:rsidRPr="00374BEF">
        <w:rPr>
          <w:rFonts w:ascii="Times New Roman" w:hAnsi="Times New Roman" w:cs="Times New Roman"/>
          <w:sz w:val="24"/>
          <w:szCs w:val="24"/>
        </w:rPr>
        <w:t xml:space="preserve">, ‘Financing Security through Elite Taxation: The Case of Colombia's “Democratic Security Taxes”’, </w:t>
      </w:r>
      <w:r w:rsidRPr="00374BEF">
        <w:rPr>
          <w:rFonts w:ascii="Times New Roman" w:hAnsi="Times New Roman" w:cs="Times New Roman"/>
          <w:i/>
          <w:sz w:val="24"/>
          <w:szCs w:val="24"/>
        </w:rPr>
        <w:t>Studies in Comparative International Development</w:t>
      </w:r>
      <w:r>
        <w:rPr>
          <w:rFonts w:ascii="Times New Roman" w:hAnsi="Times New Roman" w:cs="Times New Roman"/>
          <w:sz w:val="24"/>
          <w:szCs w:val="24"/>
        </w:rPr>
        <w:t xml:space="preserve"> 49: 4 (2014), pp.</w:t>
      </w:r>
      <w:r w:rsidRPr="00374BEF">
        <w:rPr>
          <w:rFonts w:ascii="Times New Roman" w:hAnsi="Times New Roman" w:cs="Times New Roman"/>
          <w:sz w:val="24"/>
          <w:szCs w:val="24"/>
        </w:rPr>
        <w:t xml:space="preserve"> 477-500.</w:t>
      </w:r>
    </w:p>
  </w:footnote>
  <w:footnote w:id="47">
    <w:p w:rsidR="00C46EB0" w:rsidRPr="00374BEF" w:rsidRDefault="00C46EB0" w:rsidP="00C00A9B">
      <w:pPr>
        <w:pStyle w:val="FootnoteText"/>
        <w:spacing w:line="480" w:lineRule="auto"/>
        <w:rPr>
          <w:rFonts w:ascii="Times New Roman" w:hAnsi="Times New Roman" w:cs="Times New Roman"/>
          <w:sz w:val="24"/>
          <w:szCs w:val="24"/>
        </w:rPr>
      </w:pPr>
      <w:r w:rsidRPr="00374BEF">
        <w:rPr>
          <w:rStyle w:val="FootnoteReference"/>
          <w:rFonts w:ascii="Times New Roman" w:hAnsi="Times New Roman" w:cs="Times New Roman"/>
          <w:sz w:val="24"/>
          <w:szCs w:val="24"/>
        </w:rPr>
        <w:footnoteRef/>
      </w:r>
      <w:r w:rsidRPr="00374BEF">
        <w:rPr>
          <w:rFonts w:ascii="Times New Roman" w:hAnsi="Times New Roman" w:cs="Times New Roman"/>
          <w:sz w:val="24"/>
          <w:szCs w:val="24"/>
        </w:rPr>
        <w:t xml:space="preserve"> Ben Ross Schneider, </w:t>
      </w:r>
      <w:r w:rsidRPr="00374BEF">
        <w:rPr>
          <w:rFonts w:ascii="Times New Roman" w:hAnsi="Times New Roman" w:cs="Times New Roman"/>
          <w:i/>
          <w:sz w:val="24"/>
          <w:szCs w:val="24"/>
        </w:rPr>
        <w:t>Business Politics and the State in Twentieth Century Latin America</w:t>
      </w:r>
      <w:r w:rsidRPr="00374BEF">
        <w:rPr>
          <w:rFonts w:ascii="Times New Roman" w:hAnsi="Times New Roman" w:cs="Times New Roman"/>
          <w:sz w:val="24"/>
          <w:szCs w:val="24"/>
        </w:rPr>
        <w:t xml:space="preserve"> (Cambridge: Cambridge</w:t>
      </w:r>
      <w:r>
        <w:rPr>
          <w:rFonts w:ascii="Times New Roman" w:hAnsi="Times New Roman" w:cs="Times New Roman"/>
          <w:sz w:val="24"/>
          <w:szCs w:val="24"/>
        </w:rPr>
        <w:t xml:space="preserve"> University Press, 2004),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w:t>
      </w:r>
      <w:r w:rsidRPr="00374BEF">
        <w:rPr>
          <w:rFonts w:ascii="Times New Roman" w:hAnsi="Times New Roman" w:cs="Times New Roman"/>
          <w:sz w:val="24"/>
          <w:szCs w:val="24"/>
        </w:rPr>
        <w:t>.</w:t>
      </w:r>
    </w:p>
  </w:footnote>
  <w:footnote w:id="48">
    <w:p w:rsidR="00C46EB0" w:rsidRPr="00374BEF" w:rsidRDefault="00C46EB0" w:rsidP="00C00A9B">
      <w:pPr>
        <w:pStyle w:val="FootnoteText"/>
        <w:spacing w:line="480" w:lineRule="auto"/>
        <w:rPr>
          <w:rFonts w:ascii="Times New Roman" w:hAnsi="Times New Roman" w:cs="Times New Roman"/>
          <w:sz w:val="24"/>
          <w:szCs w:val="24"/>
        </w:rPr>
      </w:pPr>
      <w:r w:rsidRPr="00374BEF">
        <w:rPr>
          <w:rStyle w:val="FootnoteReference"/>
          <w:rFonts w:ascii="Times New Roman" w:hAnsi="Times New Roman" w:cs="Times New Roman"/>
          <w:sz w:val="24"/>
          <w:szCs w:val="24"/>
        </w:rPr>
        <w:footnoteRef/>
      </w:r>
      <w:r w:rsidRPr="00374BEF">
        <w:rPr>
          <w:rFonts w:ascii="Times New Roman" w:hAnsi="Times New Roman" w:cs="Times New Roman"/>
          <w:sz w:val="24"/>
          <w:szCs w:val="24"/>
        </w:rPr>
        <w:t xml:space="preserve"> </w:t>
      </w:r>
      <w:proofErr w:type="spellStart"/>
      <w:r>
        <w:rPr>
          <w:rFonts w:ascii="Times New Roman" w:hAnsi="Times New Roman" w:cs="Times New Roman"/>
          <w:sz w:val="24"/>
          <w:szCs w:val="24"/>
        </w:rPr>
        <w:t>Melo</w:t>
      </w:r>
      <w:proofErr w:type="spellEnd"/>
      <w:r>
        <w:rPr>
          <w:rFonts w:ascii="Times New Roman" w:hAnsi="Times New Roman" w:cs="Times New Roman"/>
          <w:sz w:val="24"/>
          <w:szCs w:val="24"/>
        </w:rPr>
        <w:t xml:space="preserve"> et al, ‘The Political Economy’, p. 24. </w:t>
      </w:r>
    </w:p>
  </w:footnote>
  <w:footnote w:id="49">
    <w:p w:rsidR="00C46EB0" w:rsidRPr="003057B7" w:rsidRDefault="00C46EB0" w:rsidP="00E36DCD">
      <w:pPr>
        <w:pStyle w:val="FootnoteText"/>
        <w:spacing w:line="480" w:lineRule="auto"/>
        <w:rPr>
          <w:rFonts w:ascii="Times New Roman" w:hAnsi="Times New Roman" w:cs="Times New Roman"/>
          <w:sz w:val="24"/>
          <w:szCs w:val="24"/>
          <w:lang w:val="pt-BR"/>
        </w:rPr>
      </w:pPr>
      <w:r w:rsidRPr="00374BEF">
        <w:rPr>
          <w:rStyle w:val="FootnoteReference"/>
          <w:rFonts w:ascii="Times New Roman" w:hAnsi="Times New Roman" w:cs="Times New Roman"/>
          <w:sz w:val="24"/>
          <w:szCs w:val="24"/>
        </w:rPr>
        <w:footnoteRef/>
      </w:r>
      <w:r w:rsidRPr="003057B7">
        <w:rPr>
          <w:rFonts w:ascii="Times New Roman" w:hAnsi="Times New Roman" w:cs="Times New Roman"/>
          <w:sz w:val="24"/>
          <w:szCs w:val="24"/>
          <w:lang w:val="pt-BR"/>
        </w:rPr>
        <w:t xml:space="preserve"> Schneider, </w:t>
      </w:r>
      <w:r w:rsidRPr="003057B7">
        <w:rPr>
          <w:rFonts w:ascii="Times New Roman" w:hAnsi="Times New Roman" w:cs="Times New Roman"/>
          <w:i/>
          <w:sz w:val="24"/>
          <w:szCs w:val="24"/>
          <w:lang w:val="pt-BR"/>
        </w:rPr>
        <w:t>Business Politics</w:t>
      </w:r>
      <w:r w:rsidRPr="003057B7">
        <w:rPr>
          <w:rFonts w:ascii="Times New Roman" w:hAnsi="Times New Roman" w:cs="Times New Roman"/>
          <w:sz w:val="24"/>
          <w:szCs w:val="24"/>
          <w:lang w:val="pt-BR"/>
        </w:rPr>
        <w:t>, p. 96.</w:t>
      </w:r>
    </w:p>
  </w:footnote>
  <w:footnote w:id="50">
    <w:p w:rsidR="00C46EB0" w:rsidRPr="00E11A53" w:rsidRDefault="00C46EB0" w:rsidP="00EF78F0">
      <w:pPr>
        <w:pStyle w:val="FootnoteText"/>
        <w:spacing w:line="480" w:lineRule="auto"/>
        <w:rPr>
          <w:rFonts w:ascii="Times New Roman" w:hAnsi="Times New Roman" w:cs="Times New Roman"/>
          <w:sz w:val="24"/>
          <w:szCs w:val="24"/>
          <w:lang w:val="pt-BR"/>
        </w:rPr>
      </w:pPr>
      <w:r w:rsidRPr="00EF78F0">
        <w:rPr>
          <w:rStyle w:val="FootnoteReference"/>
          <w:rFonts w:ascii="Times New Roman" w:hAnsi="Times New Roman" w:cs="Times New Roman"/>
          <w:sz w:val="24"/>
          <w:szCs w:val="24"/>
        </w:rPr>
        <w:footnoteRef/>
      </w:r>
      <w:r w:rsidRPr="00E11A53">
        <w:rPr>
          <w:rFonts w:ascii="Times New Roman" w:hAnsi="Times New Roman" w:cs="Times New Roman"/>
          <w:sz w:val="24"/>
          <w:szCs w:val="24"/>
          <w:lang w:val="pt-BR"/>
        </w:rPr>
        <w:t xml:space="preserve"> Marcus André Melo, ‘O leviatã brasileiro e a esfinge argentina: os determinantes institucionais da política tributária’, </w:t>
      </w:r>
      <w:r w:rsidRPr="00E11A53">
        <w:rPr>
          <w:rFonts w:ascii="Times New Roman" w:hAnsi="Times New Roman" w:cs="Times New Roman"/>
          <w:i/>
          <w:sz w:val="24"/>
          <w:szCs w:val="24"/>
          <w:lang w:val="pt-BR"/>
        </w:rPr>
        <w:t>Revista Brasileira de Ciências Sociais</w:t>
      </w:r>
      <w:r w:rsidRPr="00E11A53">
        <w:rPr>
          <w:rFonts w:ascii="Times New Roman" w:hAnsi="Times New Roman" w:cs="Times New Roman"/>
          <w:sz w:val="24"/>
          <w:szCs w:val="24"/>
          <w:lang w:val="pt-BR"/>
        </w:rPr>
        <w:t xml:space="preserve"> 20: 58 (2005), pp. 91-129, and ‘Institutional Weakness and the Puzzle of Argentina’s Low Taxation’, </w:t>
      </w:r>
      <w:r w:rsidRPr="00E11A53">
        <w:rPr>
          <w:rFonts w:ascii="Times New Roman" w:hAnsi="Times New Roman" w:cs="Times New Roman"/>
          <w:i/>
          <w:sz w:val="24"/>
          <w:szCs w:val="24"/>
          <w:lang w:val="pt-BR"/>
        </w:rPr>
        <w:t>Latin American Politics and Society</w:t>
      </w:r>
      <w:r w:rsidRPr="00E11A53">
        <w:rPr>
          <w:rFonts w:ascii="Times New Roman" w:hAnsi="Times New Roman" w:cs="Times New Roman"/>
          <w:sz w:val="24"/>
          <w:szCs w:val="24"/>
          <w:lang w:val="pt-BR"/>
        </w:rPr>
        <w:t xml:space="preserve"> 49: 4 (2007), pp. 115-148.</w:t>
      </w:r>
    </w:p>
  </w:footnote>
  <w:footnote w:id="51">
    <w:p w:rsidR="00C46EB0" w:rsidRPr="001F3022" w:rsidRDefault="00C46EB0" w:rsidP="00A4126C">
      <w:pPr>
        <w:pStyle w:val="FootnoteText"/>
        <w:spacing w:line="480" w:lineRule="auto"/>
        <w:rPr>
          <w:rFonts w:ascii="Times New Roman" w:hAnsi="Times New Roman" w:cs="Times New Roman"/>
          <w:sz w:val="24"/>
          <w:szCs w:val="24"/>
          <w:lang w:val="pt-BR"/>
        </w:rPr>
      </w:pPr>
      <w:r w:rsidRPr="00A4126C">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Serra and Afons</w:t>
      </w:r>
      <w:r>
        <w:rPr>
          <w:rFonts w:ascii="Times New Roman" w:hAnsi="Times New Roman" w:cs="Times New Roman"/>
          <w:sz w:val="24"/>
          <w:szCs w:val="24"/>
          <w:lang w:val="pt-BR"/>
        </w:rPr>
        <w:t>o, ‘Tributação</w:t>
      </w:r>
      <w:r w:rsidRPr="001F3022">
        <w:rPr>
          <w:rFonts w:ascii="Times New Roman" w:hAnsi="Times New Roman" w:cs="Times New Roman"/>
          <w:sz w:val="24"/>
          <w:szCs w:val="24"/>
          <w:lang w:val="pt-BR"/>
        </w:rPr>
        <w:t>’; Melo et al, ‘The Po</w:t>
      </w:r>
      <w:r>
        <w:rPr>
          <w:rFonts w:ascii="Times New Roman" w:hAnsi="Times New Roman" w:cs="Times New Roman"/>
          <w:sz w:val="24"/>
          <w:szCs w:val="24"/>
          <w:lang w:val="pt-BR"/>
        </w:rPr>
        <w:t>litical Economy</w:t>
      </w:r>
      <w:r w:rsidRPr="001F3022">
        <w:rPr>
          <w:rFonts w:ascii="Times New Roman" w:hAnsi="Times New Roman" w:cs="Times New Roman"/>
          <w:sz w:val="24"/>
          <w:szCs w:val="24"/>
          <w:lang w:val="pt-BR"/>
        </w:rPr>
        <w:t>’; Afonso, ‘A Economia Política’.</w:t>
      </w:r>
    </w:p>
  </w:footnote>
  <w:footnote w:id="52">
    <w:p w:rsidR="00C46EB0" w:rsidRPr="00E11A53"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E11A53">
        <w:rPr>
          <w:rFonts w:ascii="Times New Roman" w:hAnsi="Times New Roman" w:cs="Times New Roman"/>
          <w:sz w:val="24"/>
          <w:szCs w:val="24"/>
          <w:lang w:val="pt-BR"/>
        </w:rPr>
        <w:t xml:space="preserve"> Detlef Nolte, ‘Reformas Constitucionales en América Latina en Perspectiva Comparada: La Influencia de Factores Institucionales’, German Institute of Global and Area Studies, 2011, p. 2.</w:t>
      </w:r>
    </w:p>
  </w:footnote>
  <w:footnote w:id="53">
    <w:p w:rsidR="00C46EB0" w:rsidRPr="001F3022"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Rogério Bastos Arantes and Cláudio Gonçalves Couto, ‘A Constituição Sem Fim’, Simone Diniz and Sérgio Praça, </w:t>
      </w:r>
      <w:r w:rsidRPr="001F3022">
        <w:rPr>
          <w:rFonts w:ascii="Times New Roman" w:hAnsi="Times New Roman" w:cs="Times New Roman"/>
          <w:i/>
          <w:sz w:val="24"/>
          <w:szCs w:val="24"/>
          <w:lang w:val="pt-BR"/>
        </w:rPr>
        <w:t>Vinte Anos de Constituição</w:t>
      </w:r>
      <w:r w:rsidRPr="001F3022">
        <w:rPr>
          <w:rFonts w:ascii="Times New Roman" w:hAnsi="Times New Roman" w:cs="Times New Roman"/>
          <w:sz w:val="24"/>
          <w:szCs w:val="24"/>
          <w:lang w:val="pt-BR"/>
        </w:rPr>
        <w:t xml:space="preserve"> (São Paulo: Paulus, 2008), pp. 31-60.</w:t>
      </w:r>
    </w:p>
  </w:footnote>
  <w:footnote w:id="54">
    <w:p w:rsidR="00C46EB0" w:rsidRPr="00E11A53"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E11A53">
        <w:rPr>
          <w:rFonts w:ascii="Times New Roman" w:hAnsi="Times New Roman" w:cs="Times New Roman"/>
          <w:sz w:val="24"/>
          <w:szCs w:val="24"/>
          <w:lang w:val="pt-BR"/>
        </w:rPr>
        <w:t xml:space="preserve"> Ibid.</w:t>
      </w:r>
    </w:p>
  </w:footnote>
  <w:footnote w:id="55">
    <w:p w:rsidR="00C46EB0" w:rsidRPr="00E11A53" w:rsidRDefault="00C46EB0" w:rsidP="0022279C">
      <w:pPr>
        <w:pStyle w:val="FootnoteText"/>
        <w:spacing w:line="480" w:lineRule="auto"/>
        <w:rPr>
          <w:lang w:val="pt-BR"/>
        </w:rPr>
      </w:pPr>
      <w:r w:rsidRPr="00926EF3">
        <w:rPr>
          <w:rStyle w:val="FootnoteReference"/>
          <w:rFonts w:ascii="Times New Roman" w:hAnsi="Times New Roman" w:cs="Times New Roman"/>
          <w:sz w:val="24"/>
          <w:szCs w:val="24"/>
          <w:lang w:val="en-GB"/>
        </w:rPr>
        <w:footnoteRef/>
      </w:r>
      <w:r w:rsidRPr="00E11A53">
        <w:rPr>
          <w:rFonts w:ascii="Times New Roman" w:hAnsi="Times New Roman" w:cs="Times New Roman"/>
          <w:sz w:val="24"/>
          <w:szCs w:val="24"/>
          <w:lang w:val="pt-BR"/>
        </w:rPr>
        <w:t xml:space="preserve"> CEPALSTAT.</w:t>
      </w:r>
    </w:p>
  </w:footnote>
  <w:footnote w:id="56">
    <w:p w:rsidR="00C46EB0" w:rsidRPr="001F3022" w:rsidRDefault="00C46EB0" w:rsidP="0022279C">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Meiriane Nunes Amaro, ‘Terceira Reforma da Previdência: Até Quando Esperar?’, Centro de Estudos da Consultoría do Senado, 2011, p. 20.</w:t>
      </w:r>
    </w:p>
  </w:footnote>
  <w:footnote w:id="57">
    <w:p w:rsidR="00C46EB0" w:rsidRPr="001F3022" w:rsidRDefault="00C46EB0" w:rsidP="0022279C">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Fabrício A. de Oliveira,</w:t>
      </w:r>
      <w:r w:rsidRPr="001F3022">
        <w:rPr>
          <w:rFonts w:ascii="Times New Roman" w:hAnsi="Times New Roman" w:cs="Times New Roman"/>
          <w:i/>
          <w:sz w:val="24"/>
          <w:szCs w:val="24"/>
          <w:lang w:val="pt-BR"/>
        </w:rPr>
        <w:t xml:space="preserve"> A reforma tributária de 1966 e a acumulação de capital no Brasil</w:t>
      </w:r>
      <w:r w:rsidRPr="001F3022">
        <w:rPr>
          <w:rFonts w:ascii="Times New Roman" w:hAnsi="Times New Roman" w:cs="Times New Roman"/>
          <w:sz w:val="24"/>
          <w:szCs w:val="24"/>
          <w:lang w:val="pt-BR"/>
        </w:rPr>
        <w:t xml:space="preserve"> (Belo Horizonte: Nossa Terra, 1991); Ricardo Varsano, ‘La reforma tributaria en Brasil: El largo proceso en curso’, IDB, 2003.</w:t>
      </w:r>
    </w:p>
  </w:footnote>
  <w:footnote w:id="58">
    <w:p w:rsidR="00C46EB0" w:rsidRPr="001F3022"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Sidney Nakao Nakahodo and José Roberto Savoia, ‘A reforma da previdência no Brasil: Estudo comparativo dos governos Fernando Henrique Cardoso e Lula’, </w:t>
      </w:r>
      <w:r w:rsidRPr="001F3022">
        <w:rPr>
          <w:rFonts w:ascii="Times New Roman" w:hAnsi="Times New Roman" w:cs="Times New Roman"/>
          <w:i/>
          <w:sz w:val="24"/>
          <w:szCs w:val="24"/>
          <w:lang w:val="pt-BR"/>
        </w:rPr>
        <w:t>Revista Brasileira de Ciências Sociais</w:t>
      </w:r>
      <w:r w:rsidRPr="001F3022">
        <w:rPr>
          <w:rFonts w:ascii="Times New Roman" w:hAnsi="Times New Roman" w:cs="Times New Roman"/>
          <w:sz w:val="24"/>
          <w:szCs w:val="24"/>
          <w:lang w:val="pt-BR"/>
        </w:rPr>
        <w:t xml:space="preserve"> 23: 66 (2008), pp. 45-58.</w:t>
      </w:r>
    </w:p>
  </w:footnote>
  <w:footnote w:id="59">
    <w:p w:rsidR="00C46EB0" w:rsidRPr="001F3022"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Amendments require a 3/5 majority in both legislative chambers in two rounds of voting. </w:t>
      </w:r>
      <w:r w:rsidRPr="001F3022">
        <w:rPr>
          <w:rFonts w:ascii="Times New Roman" w:hAnsi="Times New Roman" w:cs="Times New Roman"/>
          <w:sz w:val="24"/>
          <w:szCs w:val="24"/>
          <w:lang w:val="pt-BR"/>
        </w:rPr>
        <w:t xml:space="preserve">By international standards this is a ‘medium-low’ bar, according to Rogério Bastos Arantes and Claudio Gonçalves Couto, ‘Uma Constituição Incomun’, in Maria Alice Rezende de Carvalho, Cícero Araújo and Júlio Simões (eds.), </w:t>
      </w:r>
      <w:r w:rsidRPr="001F3022">
        <w:rPr>
          <w:rFonts w:ascii="Times New Roman" w:hAnsi="Times New Roman" w:cs="Times New Roman"/>
          <w:i/>
          <w:sz w:val="24"/>
          <w:szCs w:val="24"/>
          <w:lang w:val="pt-BR"/>
        </w:rPr>
        <w:t>A Constituição de 1988: Passado e Futuro</w:t>
      </w:r>
      <w:r w:rsidRPr="001F3022">
        <w:rPr>
          <w:rFonts w:ascii="Times New Roman" w:hAnsi="Times New Roman" w:cs="Times New Roman"/>
          <w:sz w:val="24"/>
          <w:szCs w:val="24"/>
          <w:lang w:val="pt-BR"/>
        </w:rPr>
        <w:t xml:space="preserve"> (São Paulo: Hucitec, 2009), p. 45.</w:t>
      </w:r>
    </w:p>
  </w:footnote>
  <w:footnote w:id="60">
    <w:p w:rsidR="00C46EB0" w:rsidRPr="002B6F68" w:rsidRDefault="00C46EB0" w:rsidP="0075746F">
      <w:pPr>
        <w:pStyle w:val="FootnoteText"/>
        <w:spacing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2B6F68">
        <w:rPr>
          <w:rFonts w:ascii="Times New Roman" w:hAnsi="Times New Roman" w:cs="Times New Roman"/>
          <w:sz w:val="24"/>
          <w:szCs w:val="24"/>
          <w:lang w:val="es-CL"/>
        </w:rPr>
        <w:t xml:space="preserve"> </w:t>
      </w:r>
      <w:proofErr w:type="spellStart"/>
      <w:r w:rsidRPr="002B6F68">
        <w:rPr>
          <w:rFonts w:ascii="Times New Roman" w:hAnsi="Times New Roman" w:cs="Times New Roman"/>
          <w:sz w:val="24"/>
          <w:szCs w:val="24"/>
          <w:lang w:val="es-CL"/>
        </w:rPr>
        <w:t>Ibid</w:t>
      </w:r>
      <w:proofErr w:type="spellEnd"/>
      <w:r w:rsidRPr="002B6F68">
        <w:rPr>
          <w:rFonts w:ascii="Times New Roman" w:hAnsi="Times New Roman" w:cs="Times New Roman"/>
          <w:sz w:val="24"/>
          <w:szCs w:val="24"/>
          <w:lang w:val="es-CL"/>
        </w:rPr>
        <w:t>.</w:t>
      </w:r>
    </w:p>
  </w:footnote>
  <w:footnote w:id="61">
    <w:p w:rsidR="00C46EB0" w:rsidRPr="007728BA" w:rsidRDefault="00C46EB0" w:rsidP="0075746F">
      <w:pPr>
        <w:pStyle w:val="FootnoteText"/>
        <w:spacing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José Roberto Afonso, ‘Brasil: Nuevos Acuerdos Fiscales,’ </w:t>
      </w:r>
      <w:r>
        <w:rPr>
          <w:rFonts w:ascii="Times New Roman" w:hAnsi="Times New Roman" w:cs="Times New Roman"/>
          <w:sz w:val="24"/>
          <w:szCs w:val="24"/>
          <w:lang w:val="es-CL"/>
        </w:rPr>
        <w:t xml:space="preserve">in </w:t>
      </w:r>
      <w:r w:rsidRPr="007728BA">
        <w:rPr>
          <w:rFonts w:ascii="Times New Roman" w:hAnsi="Times New Roman" w:cs="Times New Roman"/>
          <w:sz w:val="24"/>
          <w:szCs w:val="24"/>
          <w:lang w:val="es-CL"/>
        </w:rPr>
        <w:t>Jorge Rodríguez Cabello and Francisco Javier Díaz</w:t>
      </w:r>
      <w:r>
        <w:rPr>
          <w:rFonts w:ascii="Times New Roman" w:hAnsi="Times New Roman" w:cs="Times New Roman"/>
          <w:sz w:val="24"/>
          <w:szCs w:val="24"/>
          <w:lang w:val="es-CL"/>
        </w:rPr>
        <w:t xml:space="preserve"> (eds.)</w:t>
      </w:r>
      <w:r w:rsidRPr="007728BA">
        <w:rPr>
          <w:rFonts w:ascii="Times New Roman" w:hAnsi="Times New Roman" w:cs="Times New Roman"/>
          <w:sz w:val="24"/>
          <w:szCs w:val="24"/>
          <w:lang w:val="es-CL"/>
        </w:rPr>
        <w:t xml:space="preserve">, </w:t>
      </w:r>
      <w:r w:rsidRPr="007728BA">
        <w:rPr>
          <w:rFonts w:ascii="Times New Roman" w:hAnsi="Times New Roman" w:cs="Times New Roman"/>
          <w:i/>
          <w:sz w:val="24"/>
          <w:szCs w:val="24"/>
          <w:lang w:val="es-CL"/>
        </w:rPr>
        <w:t xml:space="preserve">Camino para la </w:t>
      </w:r>
      <w:r>
        <w:rPr>
          <w:rFonts w:ascii="Times New Roman" w:hAnsi="Times New Roman" w:cs="Times New Roman"/>
          <w:i/>
          <w:sz w:val="24"/>
          <w:szCs w:val="24"/>
          <w:lang w:val="es-CL"/>
        </w:rPr>
        <w:t>Reforma:</w:t>
      </w:r>
      <w:r w:rsidRPr="007728BA">
        <w:rPr>
          <w:rFonts w:ascii="Times New Roman" w:hAnsi="Times New Roman" w:cs="Times New Roman"/>
          <w:i/>
          <w:sz w:val="24"/>
          <w:szCs w:val="24"/>
          <w:lang w:val="es-CL"/>
        </w:rPr>
        <w:t xml:space="preserve"> Estrategia Política de un Acuerdo Fiscal</w:t>
      </w:r>
      <w:r w:rsidRPr="007728BA">
        <w:rPr>
          <w:rFonts w:ascii="Times New Roman" w:hAnsi="Times New Roman" w:cs="Times New Roman"/>
          <w:sz w:val="24"/>
          <w:szCs w:val="24"/>
          <w:lang w:val="es-CL"/>
        </w:rPr>
        <w:t xml:space="preserve"> (Santiago: CIEPLAN, 2013), p. 73.</w:t>
      </w:r>
    </w:p>
  </w:footnote>
  <w:footnote w:id="62">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Peter H. Smith, </w:t>
      </w:r>
      <w:r w:rsidRPr="00926EF3">
        <w:rPr>
          <w:rFonts w:ascii="Times New Roman" w:hAnsi="Times New Roman" w:cs="Times New Roman"/>
          <w:i/>
          <w:sz w:val="24"/>
          <w:szCs w:val="24"/>
          <w:lang w:val="en-GB"/>
        </w:rPr>
        <w:t>Democracy in Latin America: Political Change in Comparative Perspective</w:t>
      </w:r>
      <w:r w:rsidRPr="00926EF3">
        <w:rPr>
          <w:rFonts w:ascii="Times New Roman" w:hAnsi="Times New Roman" w:cs="Times New Roman"/>
          <w:sz w:val="24"/>
          <w:szCs w:val="24"/>
          <w:lang w:val="en-GB"/>
        </w:rPr>
        <w:t>, 2</w:t>
      </w:r>
      <w:r w:rsidRPr="00926EF3">
        <w:rPr>
          <w:rFonts w:ascii="Times New Roman" w:hAnsi="Times New Roman" w:cs="Times New Roman"/>
          <w:sz w:val="24"/>
          <w:szCs w:val="24"/>
          <w:vertAlign w:val="superscript"/>
          <w:lang w:val="en-GB"/>
        </w:rPr>
        <w:t>nd</w:t>
      </w:r>
      <w:r w:rsidRPr="00926EF3">
        <w:rPr>
          <w:rFonts w:ascii="Times New Roman" w:hAnsi="Times New Roman" w:cs="Times New Roman"/>
          <w:sz w:val="24"/>
          <w:szCs w:val="24"/>
          <w:lang w:val="en-GB"/>
        </w:rPr>
        <w:t xml:space="preserve"> ed. (Oxford: Oxford University Press, 2011); Mainwaring and Pérez-</w:t>
      </w:r>
      <w:proofErr w:type="spellStart"/>
      <w:r w:rsidRPr="00926EF3">
        <w:rPr>
          <w:rFonts w:ascii="Times New Roman" w:hAnsi="Times New Roman" w:cs="Times New Roman"/>
          <w:sz w:val="24"/>
          <w:szCs w:val="24"/>
          <w:lang w:val="en-GB"/>
        </w:rPr>
        <w:t>Liñán</w:t>
      </w:r>
      <w:proofErr w:type="spellEnd"/>
      <w:r w:rsidRPr="00926EF3">
        <w:rPr>
          <w:rFonts w:ascii="Times New Roman" w:hAnsi="Times New Roman" w:cs="Times New Roman"/>
          <w:i/>
          <w:sz w:val="24"/>
          <w:szCs w:val="24"/>
          <w:lang w:val="en-GB"/>
        </w:rPr>
        <w:t>, Democracies and Dictatorships</w:t>
      </w:r>
      <w:r w:rsidRPr="00926EF3">
        <w:rPr>
          <w:rFonts w:ascii="Times New Roman" w:hAnsi="Times New Roman" w:cs="Times New Roman"/>
          <w:sz w:val="24"/>
          <w:szCs w:val="24"/>
          <w:lang w:val="en-GB"/>
        </w:rPr>
        <w:t>.</w:t>
      </w:r>
    </w:p>
  </w:footnote>
  <w:footnote w:id="63">
    <w:p w:rsidR="00C46EB0" w:rsidRPr="007728BA" w:rsidRDefault="00C46EB0" w:rsidP="0075746F">
      <w:pPr>
        <w:pStyle w:val="FootnoteText"/>
        <w:spacing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w:t>
      </w:r>
      <w:proofErr w:type="spellStart"/>
      <w:r w:rsidRPr="007728BA">
        <w:rPr>
          <w:rFonts w:ascii="Times New Roman" w:hAnsi="Times New Roman" w:cs="Times New Roman"/>
          <w:sz w:val="24"/>
          <w:szCs w:val="24"/>
          <w:lang w:val="es-CL"/>
        </w:rPr>
        <w:t>Cetrángolo</w:t>
      </w:r>
      <w:proofErr w:type="spellEnd"/>
      <w:r w:rsidRPr="007728BA">
        <w:rPr>
          <w:rFonts w:ascii="Times New Roman" w:hAnsi="Times New Roman" w:cs="Times New Roman"/>
          <w:sz w:val="24"/>
          <w:szCs w:val="24"/>
          <w:lang w:val="es-CL"/>
        </w:rPr>
        <w:t xml:space="preserve"> and Gómez </w:t>
      </w:r>
      <w:proofErr w:type="spellStart"/>
      <w:r w:rsidRPr="007728BA">
        <w:rPr>
          <w:rFonts w:ascii="Times New Roman" w:hAnsi="Times New Roman" w:cs="Times New Roman"/>
          <w:sz w:val="24"/>
          <w:szCs w:val="24"/>
          <w:lang w:val="es-CL"/>
        </w:rPr>
        <w:t>Sabaini</w:t>
      </w:r>
      <w:proofErr w:type="spellEnd"/>
      <w:r w:rsidRPr="007728BA">
        <w:rPr>
          <w:rFonts w:ascii="Times New Roman" w:hAnsi="Times New Roman" w:cs="Times New Roman"/>
          <w:sz w:val="24"/>
          <w:szCs w:val="24"/>
          <w:lang w:val="es-CL"/>
        </w:rPr>
        <w:t xml:space="preserve">, ‘Política </w:t>
      </w:r>
      <w:r>
        <w:rPr>
          <w:rFonts w:ascii="Times New Roman" w:hAnsi="Times New Roman" w:cs="Times New Roman"/>
          <w:sz w:val="24"/>
          <w:szCs w:val="24"/>
          <w:lang w:val="es-CL"/>
        </w:rPr>
        <w:t>tributaria en Argentina’</w:t>
      </w:r>
      <w:r w:rsidRPr="007728BA">
        <w:rPr>
          <w:rFonts w:ascii="Times New Roman" w:hAnsi="Times New Roman" w:cs="Times New Roman"/>
          <w:sz w:val="24"/>
          <w:szCs w:val="24"/>
          <w:lang w:val="es-CL"/>
        </w:rPr>
        <w:t>, p. 27.</w:t>
      </w:r>
    </w:p>
  </w:footnote>
  <w:footnote w:id="64">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William C. Smith, </w:t>
      </w:r>
      <w:r w:rsidRPr="00926EF3">
        <w:rPr>
          <w:rFonts w:ascii="Times New Roman" w:hAnsi="Times New Roman" w:cs="Times New Roman"/>
          <w:i/>
          <w:sz w:val="24"/>
          <w:szCs w:val="24"/>
          <w:lang w:val="en-GB"/>
        </w:rPr>
        <w:t>Authoritarianism and the Crisis of the Argentine Political Economy</w:t>
      </w:r>
      <w:r w:rsidRPr="00926EF3">
        <w:rPr>
          <w:rFonts w:ascii="Times New Roman" w:hAnsi="Times New Roman" w:cs="Times New Roman"/>
          <w:sz w:val="24"/>
          <w:szCs w:val="24"/>
          <w:lang w:val="en-GB"/>
        </w:rPr>
        <w:t xml:space="preserve"> (Stanford: Stanford University Press, 1991).</w:t>
      </w:r>
    </w:p>
  </w:footnote>
  <w:footnote w:id="65">
    <w:p w:rsidR="00C46EB0" w:rsidRPr="007728BA" w:rsidRDefault="00C46EB0" w:rsidP="00BC3E8E">
      <w:pPr>
        <w:pStyle w:val="FootnoteText"/>
        <w:spacing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Daniel </w:t>
      </w:r>
      <w:proofErr w:type="spellStart"/>
      <w:r w:rsidRPr="007728BA">
        <w:rPr>
          <w:rFonts w:ascii="Times New Roman" w:hAnsi="Times New Roman" w:cs="Times New Roman"/>
          <w:sz w:val="24"/>
          <w:szCs w:val="24"/>
          <w:lang w:val="es-CL"/>
        </w:rPr>
        <w:t>Azpiazu</w:t>
      </w:r>
      <w:proofErr w:type="spellEnd"/>
      <w:r w:rsidRPr="007728BA">
        <w:rPr>
          <w:rFonts w:ascii="Times New Roman" w:hAnsi="Times New Roman" w:cs="Times New Roman"/>
          <w:sz w:val="24"/>
          <w:szCs w:val="24"/>
          <w:lang w:val="es-CL"/>
        </w:rPr>
        <w:t xml:space="preserve"> and Martín </w:t>
      </w:r>
      <w:proofErr w:type="spellStart"/>
      <w:r w:rsidRPr="007728BA">
        <w:rPr>
          <w:rFonts w:ascii="Times New Roman" w:hAnsi="Times New Roman" w:cs="Times New Roman"/>
          <w:sz w:val="24"/>
          <w:szCs w:val="24"/>
          <w:lang w:val="es-CL"/>
        </w:rPr>
        <w:t>Schorr</w:t>
      </w:r>
      <w:proofErr w:type="spellEnd"/>
      <w:r w:rsidRPr="007728BA">
        <w:rPr>
          <w:rFonts w:ascii="Times New Roman" w:hAnsi="Times New Roman" w:cs="Times New Roman"/>
          <w:sz w:val="24"/>
          <w:szCs w:val="24"/>
          <w:lang w:val="es-CL"/>
        </w:rPr>
        <w:t xml:space="preserve">, </w:t>
      </w:r>
      <w:r w:rsidRPr="007728BA">
        <w:rPr>
          <w:rFonts w:ascii="Times New Roman" w:hAnsi="Times New Roman" w:cs="Times New Roman"/>
          <w:i/>
          <w:sz w:val="24"/>
          <w:szCs w:val="24"/>
          <w:lang w:val="es-CL"/>
        </w:rPr>
        <w:t>Hecho en Argentina: Industria y economía, 1976-2007</w:t>
      </w:r>
      <w:r w:rsidRPr="007728BA">
        <w:rPr>
          <w:rFonts w:ascii="Times New Roman" w:hAnsi="Times New Roman" w:cs="Times New Roman"/>
          <w:sz w:val="24"/>
          <w:szCs w:val="24"/>
          <w:lang w:val="es-CL"/>
        </w:rPr>
        <w:t xml:space="preserve"> (Buenos Aires: Siglo XXI, 2010).</w:t>
      </w:r>
    </w:p>
  </w:footnote>
  <w:footnote w:id="66">
    <w:p w:rsidR="00C46EB0" w:rsidRPr="00BC3E8E" w:rsidRDefault="00C46EB0" w:rsidP="00BC3E8E">
      <w:pPr>
        <w:pStyle w:val="FootnoteText"/>
        <w:spacing w:line="480" w:lineRule="auto"/>
        <w:rPr>
          <w:rFonts w:ascii="Times New Roman" w:hAnsi="Times New Roman" w:cs="Times New Roman"/>
          <w:sz w:val="24"/>
          <w:szCs w:val="24"/>
          <w:lang w:val="es-CL"/>
        </w:rPr>
      </w:pPr>
      <w:r w:rsidRPr="00BC3E8E">
        <w:rPr>
          <w:rStyle w:val="FootnoteReference"/>
          <w:rFonts w:ascii="Times New Roman" w:hAnsi="Times New Roman" w:cs="Times New Roman"/>
          <w:sz w:val="24"/>
          <w:szCs w:val="24"/>
          <w:lang w:val="en-GB"/>
        </w:rPr>
        <w:footnoteRef/>
      </w:r>
      <w:r w:rsidRPr="00BC3E8E">
        <w:rPr>
          <w:rFonts w:ascii="Times New Roman" w:hAnsi="Times New Roman" w:cs="Times New Roman"/>
          <w:sz w:val="24"/>
          <w:szCs w:val="24"/>
          <w:lang w:val="es-CL"/>
        </w:rPr>
        <w:t xml:space="preserve"> Jorge </w:t>
      </w:r>
      <w:proofErr w:type="spellStart"/>
      <w:r w:rsidRPr="00BC3E8E">
        <w:rPr>
          <w:rFonts w:ascii="Times New Roman" w:hAnsi="Times New Roman" w:cs="Times New Roman"/>
          <w:sz w:val="24"/>
          <w:szCs w:val="24"/>
          <w:lang w:val="es-CL"/>
        </w:rPr>
        <w:t>Gaggero</w:t>
      </w:r>
      <w:proofErr w:type="spellEnd"/>
      <w:r w:rsidRPr="00BC3E8E">
        <w:rPr>
          <w:rFonts w:ascii="Times New Roman" w:hAnsi="Times New Roman" w:cs="Times New Roman"/>
          <w:sz w:val="24"/>
          <w:szCs w:val="24"/>
          <w:lang w:val="es-CL"/>
        </w:rPr>
        <w:t>, ‘Marco histórico (y propósitos de esta empresa)</w:t>
      </w:r>
      <w:r>
        <w:rPr>
          <w:rFonts w:ascii="Times New Roman" w:hAnsi="Times New Roman" w:cs="Times New Roman"/>
          <w:sz w:val="24"/>
          <w:szCs w:val="24"/>
          <w:lang w:val="es-CL"/>
        </w:rPr>
        <w:t xml:space="preserve">’, </w:t>
      </w:r>
      <w:r w:rsidRPr="00041F9E">
        <w:rPr>
          <w:rFonts w:ascii="Times New Roman" w:hAnsi="Times New Roman" w:cs="Times New Roman"/>
          <w:i/>
          <w:sz w:val="24"/>
          <w:szCs w:val="24"/>
          <w:lang w:val="es-CL"/>
        </w:rPr>
        <w:t>Voces en el Fénix</w:t>
      </w:r>
      <w:r>
        <w:rPr>
          <w:rFonts w:ascii="Times New Roman" w:hAnsi="Times New Roman" w:cs="Times New Roman"/>
          <w:sz w:val="24"/>
          <w:szCs w:val="24"/>
          <w:lang w:val="es-CL"/>
        </w:rPr>
        <w:t xml:space="preserve"> 13 (2012), pp. 6-11.</w:t>
      </w:r>
    </w:p>
  </w:footnote>
  <w:footnote w:id="67">
    <w:p w:rsidR="00C46EB0" w:rsidRPr="007728BA" w:rsidRDefault="00C46EB0" w:rsidP="00BC3E8E">
      <w:pPr>
        <w:spacing w:after="0" w:line="480" w:lineRule="auto"/>
        <w:rPr>
          <w:rFonts w:ascii="Times New Roman" w:hAnsi="Times New Roman" w:cs="Times New Roman"/>
          <w:sz w:val="24"/>
          <w:szCs w:val="24"/>
          <w:lang w:val="es-CL"/>
        </w:rPr>
      </w:pPr>
      <w:r w:rsidRPr="00BC3E8E">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Jorge </w:t>
      </w:r>
      <w:proofErr w:type="spellStart"/>
      <w:r w:rsidRPr="007728BA">
        <w:rPr>
          <w:rFonts w:ascii="Times New Roman" w:hAnsi="Times New Roman" w:cs="Times New Roman"/>
          <w:sz w:val="24"/>
          <w:szCs w:val="24"/>
          <w:lang w:val="es-CL"/>
        </w:rPr>
        <w:t>Notaro</w:t>
      </w:r>
      <w:proofErr w:type="spellEnd"/>
      <w:r w:rsidRPr="007728BA">
        <w:rPr>
          <w:rFonts w:ascii="Times New Roman" w:hAnsi="Times New Roman" w:cs="Times New Roman"/>
          <w:sz w:val="24"/>
          <w:szCs w:val="24"/>
          <w:lang w:val="es-CL"/>
        </w:rPr>
        <w:t xml:space="preserve">, ‘La batalla que ganó la economía, 1972-1984’, in </w:t>
      </w:r>
      <w:proofErr w:type="spellStart"/>
      <w:r w:rsidRPr="007728BA">
        <w:rPr>
          <w:rFonts w:ascii="Times New Roman" w:hAnsi="Times New Roman" w:cs="Times New Roman"/>
          <w:sz w:val="24"/>
          <w:szCs w:val="24"/>
          <w:lang w:val="es-CL"/>
        </w:rPr>
        <w:t>Benjamin</w:t>
      </w:r>
      <w:proofErr w:type="spellEnd"/>
      <w:r w:rsidRPr="007728BA">
        <w:rPr>
          <w:rFonts w:ascii="Times New Roman" w:hAnsi="Times New Roman" w:cs="Times New Roman"/>
          <w:sz w:val="24"/>
          <w:szCs w:val="24"/>
          <w:lang w:val="es-CL"/>
        </w:rPr>
        <w:t xml:space="preserve"> </w:t>
      </w:r>
      <w:proofErr w:type="spellStart"/>
      <w:r w:rsidRPr="007728BA">
        <w:rPr>
          <w:rFonts w:ascii="Times New Roman" w:hAnsi="Times New Roman" w:cs="Times New Roman"/>
          <w:sz w:val="24"/>
          <w:szCs w:val="24"/>
          <w:lang w:val="es-CL"/>
        </w:rPr>
        <w:t>Nahum</w:t>
      </w:r>
      <w:proofErr w:type="spellEnd"/>
      <w:r w:rsidRPr="007728BA">
        <w:rPr>
          <w:rFonts w:ascii="Times New Roman" w:hAnsi="Times New Roman" w:cs="Times New Roman"/>
          <w:sz w:val="24"/>
          <w:szCs w:val="24"/>
          <w:lang w:val="es-CL"/>
        </w:rPr>
        <w:t xml:space="preserve"> (ed.) </w:t>
      </w:r>
      <w:r w:rsidRPr="007728BA">
        <w:rPr>
          <w:rFonts w:ascii="Times New Roman" w:hAnsi="Times New Roman" w:cs="Times New Roman"/>
          <w:i/>
          <w:sz w:val="24"/>
          <w:szCs w:val="24"/>
          <w:lang w:val="es-CL"/>
        </w:rPr>
        <w:t>El Uruguay del siglo XX: La economía</w:t>
      </w:r>
      <w:r w:rsidRPr="007728BA">
        <w:rPr>
          <w:rFonts w:ascii="Times New Roman" w:hAnsi="Times New Roman" w:cs="Times New Roman"/>
          <w:sz w:val="24"/>
          <w:szCs w:val="24"/>
          <w:lang w:val="es-CL"/>
        </w:rPr>
        <w:t xml:space="preserve"> (Montevideo: Banda Oriental, 2003); Paola Azar, Magdalena </w:t>
      </w:r>
      <w:proofErr w:type="spellStart"/>
      <w:r w:rsidRPr="007728BA">
        <w:rPr>
          <w:rFonts w:ascii="Times New Roman" w:hAnsi="Times New Roman" w:cs="Times New Roman"/>
          <w:sz w:val="24"/>
          <w:szCs w:val="24"/>
          <w:lang w:val="es-CL"/>
        </w:rPr>
        <w:t>Bertino</w:t>
      </w:r>
      <w:proofErr w:type="spellEnd"/>
      <w:r w:rsidRPr="007728BA">
        <w:rPr>
          <w:rFonts w:ascii="Times New Roman" w:hAnsi="Times New Roman" w:cs="Times New Roman"/>
          <w:sz w:val="24"/>
          <w:szCs w:val="24"/>
          <w:lang w:val="es-CL"/>
        </w:rPr>
        <w:t xml:space="preserve">, Sebastián </w:t>
      </w:r>
      <w:proofErr w:type="spellStart"/>
      <w:r w:rsidRPr="007728BA">
        <w:rPr>
          <w:rFonts w:ascii="Times New Roman" w:hAnsi="Times New Roman" w:cs="Times New Roman"/>
          <w:sz w:val="24"/>
          <w:szCs w:val="24"/>
          <w:lang w:val="es-CL"/>
        </w:rPr>
        <w:t>Fleitas</w:t>
      </w:r>
      <w:proofErr w:type="spellEnd"/>
      <w:r w:rsidRPr="007728BA">
        <w:rPr>
          <w:rFonts w:ascii="Times New Roman" w:hAnsi="Times New Roman" w:cs="Times New Roman"/>
          <w:sz w:val="24"/>
          <w:szCs w:val="24"/>
          <w:lang w:val="es-CL"/>
        </w:rPr>
        <w:t xml:space="preserve">, Ulises García </w:t>
      </w:r>
      <w:proofErr w:type="spellStart"/>
      <w:r w:rsidRPr="007728BA">
        <w:rPr>
          <w:rFonts w:ascii="Times New Roman" w:hAnsi="Times New Roman" w:cs="Times New Roman"/>
          <w:sz w:val="24"/>
          <w:szCs w:val="24"/>
          <w:lang w:val="es-CL"/>
        </w:rPr>
        <w:t>Repetto</w:t>
      </w:r>
      <w:proofErr w:type="spellEnd"/>
      <w:r w:rsidRPr="007728BA">
        <w:rPr>
          <w:rFonts w:ascii="Times New Roman" w:hAnsi="Times New Roman" w:cs="Times New Roman"/>
          <w:sz w:val="24"/>
          <w:szCs w:val="24"/>
          <w:lang w:val="es-CL"/>
        </w:rPr>
        <w:t xml:space="preserve">, Claudia Sanguinetti, Mariana </w:t>
      </w:r>
      <w:proofErr w:type="spellStart"/>
      <w:r w:rsidRPr="007728BA">
        <w:rPr>
          <w:rFonts w:ascii="Times New Roman" w:hAnsi="Times New Roman" w:cs="Times New Roman"/>
          <w:sz w:val="24"/>
          <w:szCs w:val="24"/>
          <w:lang w:val="es-CL"/>
        </w:rPr>
        <w:t>Sienra</w:t>
      </w:r>
      <w:proofErr w:type="spellEnd"/>
      <w:r w:rsidRPr="007728BA">
        <w:rPr>
          <w:rFonts w:ascii="Times New Roman" w:hAnsi="Times New Roman" w:cs="Times New Roman"/>
          <w:sz w:val="24"/>
          <w:szCs w:val="24"/>
          <w:lang w:val="es-CL"/>
        </w:rPr>
        <w:t xml:space="preserve">, and Milton </w:t>
      </w:r>
      <w:proofErr w:type="spellStart"/>
      <w:r w:rsidRPr="007728BA">
        <w:rPr>
          <w:rFonts w:ascii="Times New Roman" w:hAnsi="Times New Roman" w:cs="Times New Roman"/>
          <w:sz w:val="24"/>
          <w:szCs w:val="24"/>
          <w:lang w:val="es-CL"/>
        </w:rPr>
        <w:t>Torrelli</w:t>
      </w:r>
      <w:proofErr w:type="spellEnd"/>
      <w:r w:rsidRPr="007728BA">
        <w:rPr>
          <w:rFonts w:ascii="Times New Roman" w:hAnsi="Times New Roman" w:cs="Times New Roman"/>
          <w:sz w:val="24"/>
          <w:szCs w:val="24"/>
          <w:lang w:val="es-CL"/>
        </w:rPr>
        <w:t xml:space="preserve">, </w:t>
      </w:r>
      <w:r w:rsidRPr="007728BA">
        <w:rPr>
          <w:rFonts w:ascii="Times New Roman" w:hAnsi="Times New Roman" w:cs="Times New Roman"/>
          <w:i/>
          <w:sz w:val="24"/>
          <w:szCs w:val="24"/>
          <w:lang w:val="es-CL"/>
        </w:rPr>
        <w:t xml:space="preserve">¿De </w:t>
      </w:r>
      <w:proofErr w:type="spellStart"/>
      <w:r w:rsidRPr="007728BA">
        <w:rPr>
          <w:rFonts w:ascii="Times New Roman" w:hAnsi="Times New Roman" w:cs="Times New Roman"/>
          <w:i/>
          <w:sz w:val="24"/>
          <w:szCs w:val="24"/>
          <w:lang w:val="es-CL"/>
        </w:rPr>
        <w:t>quiénes</w:t>
      </w:r>
      <w:proofErr w:type="spellEnd"/>
      <w:r w:rsidRPr="007728BA">
        <w:rPr>
          <w:rFonts w:ascii="Times New Roman" w:hAnsi="Times New Roman" w:cs="Times New Roman"/>
          <w:i/>
          <w:sz w:val="24"/>
          <w:szCs w:val="24"/>
          <w:lang w:val="es-CL"/>
        </w:rPr>
        <w:t>, para quiénes y para qué? Las finanzas públicas en el Uruguay del siglo XX</w:t>
      </w:r>
      <w:r w:rsidRPr="007728BA">
        <w:rPr>
          <w:rFonts w:ascii="Times New Roman" w:hAnsi="Times New Roman" w:cs="Times New Roman"/>
          <w:sz w:val="24"/>
          <w:szCs w:val="24"/>
          <w:lang w:val="es-CL"/>
        </w:rPr>
        <w:t xml:space="preserve"> (Montevideo: Universidad de la República, 2009).</w:t>
      </w:r>
    </w:p>
  </w:footnote>
  <w:footnote w:id="68">
    <w:p w:rsidR="00C46EB0" w:rsidRPr="001F3022"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Oliveira, </w:t>
      </w:r>
      <w:r>
        <w:rPr>
          <w:rFonts w:ascii="Times New Roman" w:hAnsi="Times New Roman" w:cs="Times New Roman"/>
          <w:i/>
          <w:sz w:val="24"/>
          <w:szCs w:val="24"/>
          <w:lang w:val="pt-BR"/>
        </w:rPr>
        <w:t>A reforma tributária</w:t>
      </w:r>
      <w:r w:rsidRPr="001F3022">
        <w:rPr>
          <w:rFonts w:ascii="Times New Roman" w:hAnsi="Times New Roman" w:cs="Times New Roman"/>
          <w:sz w:val="24"/>
          <w:szCs w:val="24"/>
          <w:lang w:val="pt-BR"/>
        </w:rPr>
        <w:t>.</w:t>
      </w:r>
    </w:p>
  </w:footnote>
  <w:footnote w:id="69">
    <w:p w:rsidR="00C46EB0" w:rsidRPr="001F3022" w:rsidRDefault="00C46EB0" w:rsidP="0075746F">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IBGE, </w:t>
      </w:r>
      <w:r w:rsidRPr="001F3022">
        <w:rPr>
          <w:rFonts w:ascii="Times New Roman" w:hAnsi="Times New Roman" w:cs="Times New Roman"/>
          <w:i/>
          <w:sz w:val="24"/>
          <w:szCs w:val="24"/>
          <w:lang w:val="pt-BR"/>
        </w:rPr>
        <w:t>Estatisticas do Século XX</w:t>
      </w:r>
      <w:r w:rsidRPr="001F3022">
        <w:rPr>
          <w:rFonts w:ascii="Times New Roman" w:hAnsi="Times New Roman" w:cs="Times New Roman"/>
          <w:sz w:val="24"/>
          <w:szCs w:val="24"/>
          <w:lang w:val="pt-BR"/>
        </w:rPr>
        <w:t>.</w:t>
      </w:r>
    </w:p>
  </w:footnote>
  <w:footnote w:id="70">
    <w:p w:rsidR="00C46EB0" w:rsidRPr="00926EF3" w:rsidRDefault="00C46EB0" w:rsidP="0075746F">
      <w:pPr>
        <w:spacing w:after="0"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Peter Evans, </w:t>
      </w:r>
      <w:r w:rsidRPr="00926EF3">
        <w:rPr>
          <w:rFonts w:ascii="Times New Roman" w:hAnsi="Times New Roman" w:cs="Times New Roman"/>
          <w:i/>
          <w:sz w:val="24"/>
          <w:szCs w:val="24"/>
          <w:lang w:val="en-GB"/>
        </w:rPr>
        <w:t>Dependent Development: The Alliance of Multinational, State, and Local Capital in Brazil</w:t>
      </w:r>
      <w:r w:rsidRPr="00926EF3">
        <w:rPr>
          <w:rFonts w:ascii="Times New Roman" w:hAnsi="Times New Roman" w:cs="Times New Roman"/>
          <w:sz w:val="24"/>
          <w:szCs w:val="24"/>
          <w:lang w:val="en-GB"/>
        </w:rPr>
        <w:t xml:space="preserve"> (Princeton: Princeton University Press, 1979).</w:t>
      </w:r>
    </w:p>
  </w:footnote>
  <w:footnote w:id="71">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Carmelo Mesa-Lago, </w:t>
      </w:r>
      <w:r w:rsidRPr="00926EF3">
        <w:rPr>
          <w:rFonts w:ascii="Times New Roman" w:hAnsi="Times New Roman" w:cs="Times New Roman"/>
          <w:i/>
          <w:color w:val="000000"/>
          <w:sz w:val="24"/>
          <w:szCs w:val="24"/>
          <w:lang w:val="en-GB"/>
        </w:rPr>
        <w:t>Social Security in Latin America: Pressure Groups, Stratification, and Inequality</w:t>
      </w:r>
      <w:r w:rsidRPr="00926EF3">
        <w:rPr>
          <w:rFonts w:ascii="Times New Roman" w:hAnsi="Times New Roman" w:cs="Times New Roman"/>
          <w:color w:val="000000"/>
          <w:sz w:val="24"/>
          <w:szCs w:val="24"/>
          <w:lang w:val="en-GB"/>
        </w:rPr>
        <w:t xml:space="preserve"> (Pittsburgh: University of Pittsburgh Press, 1978).</w:t>
      </w:r>
    </w:p>
  </w:footnote>
  <w:footnote w:id="72">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Joseph Ramos, </w:t>
      </w:r>
      <w:r w:rsidRPr="00926EF3">
        <w:rPr>
          <w:rFonts w:ascii="Times New Roman" w:hAnsi="Times New Roman" w:cs="Times New Roman"/>
          <w:i/>
          <w:sz w:val="24"/>
          <w:szCs w:val="24"/>
          <w:lang w:val="en-GB"/>
        </w:rPr>
        <w:t xml:space="preserve">Neoconservative Economics in the Southern Cone of Latin America, 1973-1983 </w:t>
      </w:r>
      <w:r w:rsidRPr="00926EF3">
        <w:rPr>
          <w:rFonts w:ascii="Times New Roman" w:hAnsi="Times New Roman" w:cs="Times New Roman"/>
          <w:sz w:val="24"/>
          <w:szCs w:val="24"/>
          <w:lang w:val="en-GB"/>
        </w:rPr>
        <w:t>(Baltimore: John Hopkins, 1986).</w:t>
      </w:r>
    </w:p>
  </w:footnote>
  <w:footnote w:id="73">
    <w:p w:rsidR="00C46EB0" w:rsidRPr="00CE3E63" w:rsidRDefault="00C46EB0" w:rsidP="00CE3E63">
      <w:pPr>
        <w:pStyle w:val="FootnoteText"/>
        <w:spacing w:line="480" w:lineRule="auto"/>
        <w:rPr>
          <w:rFonts w:ascii="Times New Roman" w:hAnsi="Times New Roman" w:cs="Times New Roman"/>
          <w:sz w:val="24"/>
          <w:szCs w:val="24"/>
        </w:rPr>
      </w:pPr>
      <w:r w:rsidRPr="00CE3E63">
        <w:rPr>
          <w:rStyle w:val="FootnoteReference"/>
          <w:rFonts w:ascii="Times New Roman" w:hAnsi="Times New Roman" w:cs="Times New Roman"/>
          <w:sz w:val="24"/>
          <w:szCs w:val="24"/>
        </w:rPr>
        <w:footnoteRef/>
      </w:r>
      <w:r w:rsidRPr="00CE3E63">
        <w:rPr>
          <w:rFonts w:ascii="Times New Roman" w:hAnsi="Times New Roman" w:cs="Times New Roman"/>
          <w:sz w:val="24"/>
          <w:szCs w:val="24"/>
        </w:rPr>
        <w:t xml:space="preserve"> </w:t>
      </w:r>
      <w:r w:rsidRPr="00CE3E63">
        <w:rPr>
          <w:rFonts w:ascii="Times New Roman" w:hAnsi="Times New Roman" w:cs="Times New Roman"/>
          <w:sz w:val="24"/>
          <w:szCs w:val="24"/>
          <w:lang w:val="en-GB"/>
        </w:rPr>
        <w:t>World Bank, ‘Current Economic Position,’ Annex 3, p. 9.</w:t>
      </w:r>
    </w:p>
  </w:footnote>
  <w:footnote w:id="74">
    <w:p w:rsidR="00C46EB0" w:rsidRPr="00D05CEC" w:rsidRDefault="00C46EB0" w:rsidP="00D05CEC">
      <w:pPr>
        <w:pStyle w:val="FootnoteText"/>
        <w:spacing w:line="480" w:lineRule="auto"/>
        <w:rPr>
          <w:rFonts w:ascii="Times New Roman" w:hAnsi="Times New Roman" w:cs="Times New Roman"/>
          <w:sz w:val="24"/>
          <w:szCs w:val="24"/>
        </w:rPr>
      </w:pPr>
      <w:r w:rsidRPr="00D05CEC">
        <w:rPr>
          <w:rStyle w:val="FootnoteReference"/>
          <w:rFonts w:ascii="Times New Roman" w:hAnsi="Times New Roman" w:cs="Times New Roman"/>
          <w:sz w:val="24"/>
          <w:szCs w:val="24"/>
        </w:rPr>
        <w:footnoteRef/>
      </w:r>
      <w:r w:rsidRPr="00D05CEC">
        <w:rPr>
          <w:rFonts w:ascii="Times New Roman" w:hAnsi="Times New Roman" w:cs="Times New Roman"/>
          <w:sz w:val="24"/>
          <w:szCs w:val="24"/>
        </w:rPr>
        <w:t xml:space="preserve"> Carmelo Mesa-Lago, </w:t>
      </w:r>
      <w:r w:rsidRPr="00D05CEC">
        <w:rPr>
          <w:rFonts w:ascii="Times New Roman" w:hAnsi="Times New Roman" w:cs="Times New Roman"/>
          <w:i/>
          <w:sz w:val="24"/>
          <w:szCs w:val="24"/>
        </w:rPr>
        <w:t>Ascent to Bankruptcy: Financing Social Security in Latin America</w:t>
      </w:r>
      <w:r w:rsidRPr="00D05CEC">
        <w:rPr>
          <w:rFonts w:ascii="Times New Roman" w:hAnsi="Times New Roman" w:cs="Times New Roman"/>
          <w:sz w:val="24"/>
          <w:szCs w:val="24"/>
        </w:rPr>
        <w:t xml:space="preserve"> (Pittsburgh: University of Pittsburgh Press. 1989), p. 26.</w:t>
      </w:r>
    </w:p>
  </w:footnote>
  <w:footnote w:id="75">
    <w:p w:rsidR="00C46EB0" w:rsidRDefault="00C46EB0" w:rsidP="00D05CEC">
      <w:pPr>
        <w:pStyle w:val="FootnoteText"/>
        <w:spacing w:line="480" w:lineRule="auto"/>
      </w:pPr>
      <w:r w:rsidRPr="00D05CEC">
        <w:rPr>
          <w:rStyle w:val="FootnoteReference"/>
          <w:rFonts w:ascii="Times New Roman" w:hAnsi="Times New Roman" w:cs="Times New Roman"/>
          <w:sz w:val="24"/>
          <w:szCs w:val="24"/>
        </w:rPr>
        <w:footnoteRef/>
      </w:r>
      <w:r w:rsidRPr="00D05CEC">
        <w:rPr>
          <w:rFonts w:ascii="Times New Roman" w:hAnsi="Times New Roman" w:cs="Times New Roman"/>
          <w:sz w:val="24"/>
          <w:szCs w:val="24"/>
        </w:rPr>
        <w:t xml:space="preserve"> </w:t>
      </w:r>
      <w:r>
        <w:rPr>
          <w:rFonts w:ascii="Times New Roman" w:hAnsi="Times New Roman" w:cs="Times New Roman"/>
          <w:sz w:val="24"/>
          <w:szCs w:val="24"/>
        </w:rPr>
        <w:t>Reliable social security spending figures are lacking for this period, but in</w:t>
      </w:r>
      <w:r w:rsidRPr="00D05CEC">
        <w:rPr>
          <w:rFonts w:ascii="Times New Roman" w:hAnsi="Times New Roman" w:cs="Times New Roman"/>
          <w:sz w:val="24"/>
          <w:szCs w:val="24"/>
        </w:rPr>
        <w:t xml:space="preserve"> </w:t>
      </w:r>
      <w:r>
        <w:rPr>
          <w:rFonts w:ascii="Times New Roman" w:hAnsi="Times New Roman" w:cs="Times New Roman"/>
          <w:sz w:val="24"/>
          <w:szCs w:val="24"/>
        </w:rPr>
        <w:t xml:space="preserve">1950-1955 Argentine </w:t>
      </w:r>
      <w:r w:rsidRPr="00D05CEC">
        <w:rPr>
          <w:rFonts w:ascii="Times New Roman" w:hAnsi="Times New Roman" w:cs="Times New Roman"/>
          <w:sz w:val="24"/>
          <w:szCs w:val="24"/>
        </w:rPr>
        <w:t>social security</w:t>
      </w:r>
      <w:r>
        <w:rPr>
          <w:rFonts w:ascii="Times New Roman" w:hAnsi="Times New Roman" w:cs="Times New Roman"/>
          <w:sz w:val="24"/>
          <w:szCs w:val="24"/>
        </w:rPr>
        <w:t xml:space="preserve"> revenues were 6-</w:t>
      </w:r>
      <w:r w:rsidRPr="00D05CEC">
        <w:rPr>
          <w:rFonts w:ascii="Times New Roman" w:hAnsi="Times New Roman" w:cs="Times New Roman"/>
          <w:sz w:val="24"/>
          <w:szCs w:val="24"/>
        </w:rPr>
        <w:t>7 percent</w:t>
      </w:r>
      <w:r>
        <w:rPr>
          <w:rFonts w:ascii="Times New Roman" w:hAnsi="Times New Roman" w:cs="Times New Roman"/>
          <w:sz w:val="24"/>
          <w:szCs w:val="24"/>
        </w:rPr>
        <w:t xml:space="preserve"> of GDP, according to </w:t>
      </w:r>
      <w:proofErr w:type="spellStart"/>
      <w:r>
        <w:rPr>
          <w:rFonts w:ascii="Times New Roman" w:hAnsi="Times New Roman" w:cs="Times New Roman"/>
          <w:sz w:val="24"/>
          <w:szCs w:val="24"/>
        </w:rPr>
        <w:t>Cetrángolo</w:t>
      </w:r>
      <w:proofErr w:type="spellEnd"/>
      <w:r>
        <w:rPr>
          <w:rFonts w:ascii="Times New Roman" w:hAnsi="Times New Roman" w:cs="Times New Roman"/>
          <w:sz w:val="24"/>
          <w:szCs w:val="24"/>
        </w:rPr>
        <w:t xml:space="preserve"> and Gómez </w:t>
      </w:r>
      <w:proofErr w:type="spellStart"/>
      <w:r>
        <w:rPr>
          <w:rFonts w:ascii="Times New Roman" w:hAnsi="Times New Roman" w:cs="Times New Roman"/>
          <w:sz w:val="24"/>
          <w:szCs w:val="24"/>
        </w:rPr>
        <w:t>Sabaini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Política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Tributária</w:t>
      </w:r>
      <w:proofErr w:type="spellEnd"/>
      <w:r>
        <w:rPr>
          <w:rFonts w:ascii="Times New Roman" w:hAnsi="Times New Roman" w:cs="Times New Roman"/>
          <w:sz w:val="24"/>
          <w:szCs w:val="24"/>
        </w:rPr>
        <w:t>’, p. 27. This figure is similar to Chile and Uruguay during the same period and suggests a far higher level of spending than in Brazil.</w:t>
      </w:r>
    </w:p>
  </w:footnote>
  <w:footnote w:id="76">
    <w:p w:rsidR="00C46EB0" w:rsidRPr="00CE3E63" w:rsidRDefault="00C46EB0" w:rsidP="00CE3E63">
      <w:pPr>
        <w:pStyle w:val="FootnoteText"/>
        <w:spacing w:line="480" w:lineRule="auto"/>
        <w:rPr>
          <w:rFonts w:ascii="Times New Roman" w:hAnsi="Times New Roman" w:cs="Times New Roman"/>
          <w:sz w:val="24"/>
          <w:szCs w:val="24"/>
          <w:lang w:val="en-GB"/>
        </w:rPr>
      </w:pPr>
      <w:r w:rsidRPr="00CE3E63">
        <w:rPr>
          <w:rStyle w:val="FootnoteReference"/>
          <w:rFonts w:ascii="Times New Roman" w:hAnsi="Times New Roman" w:cs="Times New Roman"/>
          <w:sz w:val="24"/>
          <w:szCs w:val="24"/>
          <w:lang w:val="en-GB"/>
        </w:rPr>
        <w:footnoteRef/>
      </w:r>
      <w:r w:rsidRPr="00CE3E63">
        <w:rPr>
          <w:rFonts w:ascii="Times New Roman" w:hAnsi="Times New Roman" w:cs="Times New Roman"/>
          <w:sz w:val="24"/>
          <w:szCs w:val="24"/>
          <w:lang w:val="en-GB"/>
        </w:rPr>
        <w:t xml:space="preserve"> Calculated using union membership data from Guillermo O’Donnell, </w:t>
      </w:r>
      <w:r w:rsidRPr="00CE3E63">
        <w:rPr>
          <w:rFonts w:ascii="Times New Roman" w:hAnsi="Times New Roman" w:cs="Times New Roman"/>
          <w:i/>
          <w:sz w:val="24"/>
          <w:szCs w:val="24"/>
          <w:lang w:val="en-GB"/>
        </w:rPr>
        <w:t>Modernisation and Bureaucratic Authoritarianism</w:t>
      </w:r>
      <w:r w:rsidRPr="00CE3E63">
        <w:rPr>
          <w:rFonts w:ascii="Times New Roman" w:hAnsi="Times New Roman" w:cs="Times New Roman"/>
          <w:sz w:val="24"/>
          <w:szCs w:val="24"/>
          <w:lang w:val="en-GB"/>
        </w:rPr>
        <w:t>, 2</w:t>
      </w:r>
      <w:r w:rsidRPr="00CE3E63">
        <w:rPr>
          <w:rFonts w:ascii="Times New Roman" w:hAnsi="Times New Roman" w:cs="Times New Roman"/>
          <w:sz w:val="24"/>
          <w:szCs w:val="24"/>
          <w:vertAlign w:val="superscript"/>
          <w:lang w:val="en-GB"/>
        </w:rPr>
        <w:t>nd</w:t>
      </w:r>
      <w:r w:rsidRPr="00CE3E63">
        <w:rPr>
          <w:rFonts w:ascii="Times New Roman" w:hAnsi="Times New Roman" w:cs="Times New Roman"/>
          <w:sz w:val="24"/>
          <w:szCs w:val="24"/>
          <w:lang w:val="en-GB"/>
        </w:rPr>
        <w:t xml:space="preserve"> ed. (Berkeley: University of California, 1979), p. 40, and labour force figures from Base de </w:t>
      </w:r>
      <w:proofErr w:type="spellStart"/>
      <w:r w:rsidRPr="00CE3E63">
        <w:rPr>
          <w:rFonts w:ascii="Times New Roman" w:hAnsi="Times New Roman" w:cs="Times New Roman"/>
          <w:sz w:val="24"/>
          <w:szCs w:val="24"/>
          <w:lang w:val="en-GB"/>
        </w:rPr>
        <w:t>Datos</w:t>
      </w:r>
      <w:proofErr w:type="spellEnd"/>
      <w:r w:rsidRPr="00CE3E63">
        <w:rPr>
          <w:rFonts w:ascii="Times New Roman" w:hAnsi="Times New Roman" w:cs="Times New Roman"/>
          <w:sz w:val="24"/>
          <w:szCs w:val="24"/>
          <w:lang w:val="en-GB"/>
        </w:rPr>
        <w:t xml:space="preserve"> de </w:t>
      </w:r>
      <w:proofErr w:type="spellStart"/>
      <w:r w:rsidRPr="00CE3E63">
        <w:rPr>
          <w:rFonts w:ascii="Times New Roman" w:hAnsi="Times New Roman" w:cs="Times New Roman"/>
          <w:sz w:val="24"/>
          <w:szCs w:val="24"/>
          <w:lang w:val="en-GB"/>
        </w:rPr>
        <w:t>Historia</w:t>
      </w:r>
      <w:proofErr w:type="spellEnd"/>
      <w:r w:rsidRPr="00CE3E63">
        <w:rPr>
          <w:rFonts w:ascii="Times New Roman" w:hAnsi="Times New Roman" w:cs="Times New Roman"/>
          <w:sz w:val="24"/>
          <w:szCs w:val="24"/>
          <w:lang w:val="en-GB"/>
        </w:rPr>
        <w:t xml:space="preserve"> </w:t>
      </w:r>
      <w:proofErr w:type="spellStart"/>
      <w:r w:rsidRPr="00CE3E63">
        <w:rPr>
          <w:rFonts w:ascii="Times New Roman" w:hAnsi="Times New Roman" w:cs="Times New Roman"/>
          <w:sz w:val="24"/>
          <w:szCs w:val="24"/>
          <w:lang w:val="en-GB"/>
        </w:rPr>
        <w:t>Económica</w:t>
      </w:r>
      <w:proofErr w:type="spellEnd"/>
      <w:r w:rsidRPr="00CE3E63">
        <w:rPr>
          <w:rFonts w:ascii="Times New Roman" w:hAnsi="Times New Roman" w:cs="Times New Roman"/>
          <w:sz w:val="24"/>
          <w:szCs w:val="24"/>
          <w:lang w:val="en-GB"/>
        </w:rPr>
        <w:t xml:space="preserve"> de </w:t>
      </w:r>
      <w:proofErr w:type="spellStart"/>
      <w:r w:rsidRPr="00CE3E63">
        <w:rPr>
          <w:rFonts w:ascii="Times New Roman" w:hAnsi="Times New Roman" w:cs="Times New Roman"/>
          <w:sz w:val="24"/>
          <w:szCs w:val="24"/>
          <w:lang w:val="en-GB"/>
        </w:rPr>
        <w:t>América</w:t>
      </w:r>
      <w:proofErr w:type="spellEnd"/>
      <w:r w:rsidRPr="00CE3E63">
        <w:rPr>
          <w:rFonts w:ascii="Times New Roman" w:hAnsi="Times New Roman" w:cs="Times New Roman"/>
          <w:sz w:val="24"/>
          <w:szCs w:val="24"/>
          <w:lang w:val="en-GB"/>
        </w:rPr>
        <w:t xml:space="preserve"> Latina Montevideo –Oxford (</w:t>
      </w:r>
      <w:proofErr w:type="spellStart"/>
      <w:r w:rsidRPr="00CE3E63">
        <w:rPr>
          <w:rFonts w:ascii="Times New Roman" w:hAnsi="Times New Roman" w:cs="Times New Roman"/>
          <w:sz w:val="24"/>
          <w:szCs w:val="24"/>
          <w:lang w:val="en-GB"/>
        </w:rPr>
        <w:t>MOxLAD</w:t>
      </w:r>
      <w:proofErr w:type="spellEnd"/>
      <w:r w:rsidRPr="00CE3E63">
        <w:rPr>
          <w:rFonts w:ascii="Times New Roman" w:hAnsi="Times New Roman" w:cs="Times New Roman"/>
          <w:sz w:val="24"/>
          <w:szCs w:val="24"/>
          <w:lang w:val="en-GB"/>
        </w:rPr>
        <w:t>), accessed at: http://moxlad.fcs.edu.uy/.</w:t>
      </w:r>
    </w:p>
  </w:footnote>
  <w:footnote w:id="77">
    <w:p w:rsidR="00C46EB0" w:rsidRPr="00CE3E63" w:rsidRDefault="00C46EB0" w:rsidP="00CE3E63">
      <w:pPr>
        <w:spacing w:after="0" w:line="480" w:lineRule="auto"/>
        <w:rPr>
          <w:rFonts w:ascii="Times New Roman" w:hAnsi="Times New Roman" w:cs="Times New Roman"/>
          <w:sz w:val="24"/>
          <w:szCs w:val="24"/>
          <w:lang w:val="en-GB"/>
        </w:rPr>
      </w:pPr>
      <w:r w:rsidRPr="00CE3E63">
        <w:rPr>
          <w:rStyle w:val="FootnoteReference"/>
          <w:rFonts w:ascii="Times New Roman" w:hAnsi="Times New Roman" w:cs="Times New Roman"/>
          <w:sz w:val="24"/>
          <w:szCs w:val="24"/>
          <w:lang w:val="en-GB"/>
        </w:rPr>
        <w:footnoteRef/>
      </w:r>
      <w:r w:rsidRPr="00CE3E63">
        <w:rPr>
          <w:rFonts w:ascii="Times New Roman" w:hAnsi="Times New Roman" w:cs="Times New Roman"/>
          <w:sz w:val="24"/>
          <w:szCs w:val="24"/>
          <w:lang w:val="en-GB"/>
        </w:rPr>
        <w:t xml:space="preserve"> Ruth </w:t>
      </w:r>
      <w:proofErr w:type="spellStart"/>
      <w:r w:rsidRPr="00CE3E63">
        <w:rPr>
          <w:rFonts w:ascii="Times New Roman" w:hAnsi="Times New Roman" w:cs="Times New Roman"/>
          <w:sz w:val="24"/>
          <w:szCs w:val="24"/>
          <w:lang w:val="en-GB"/>
        </w:rPr>
        <w:t>Berins</w:t>
      </w:r>
      <w:proofErr w:type="spellEnd"/>
      <w:r w:rsidRPr="00CE3E63">
        <w:rPr>
          <w:rFonts w:ascii="Times New Roman" w:hAnsi="Times New Roman" w:cs="Times New Roman"/>
          <w:sz w:val="24"/>
          <w:szCs w:val="24"/>
          <w:lang w:val="en-GB"/>
        </w:rPr>
        <w:t xml:space="preserve"> Collier and David Collier, </w:t>
      </w:r>
      <w:r w:rsidRPr="00CE3E63">
        <w:rPr>
          <w:rFonts w:ascii="Times New Roman" w:hAnsi="Times New Roman" w:cs="Times New Roman"/>
          <w:i/>
          <w:sz w:val="24"/>
          <w:szCs w:val="24"/>
          <w:lang w:val="en-GB"/>
        </w:rPr>
        <w:t>Shaping the Political Arena</w:t>
      </w:r>
      <w:r w:rsidRPr="00CE3E63">
        <w:rPr>
          <w:rFonts w:ascii="Times New Roman" w:hAnsi="Times New Roman" w:cs="Times New Roman"/>
          <w:sz w:val="24"/>
          <w:szCs w:val="24"/>
          <w:lang w:val="en-GB"/>
        </w:rPr>
        <w:t xml:space="preserve"> (Princeton: Princeton University Press, 1991).</w:t>
      </w:r>
    </w:p>
  </w:footnote>
  <w:footnote w:id="78">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Howard </w:t>
      </w:r>
      <w:proofErr w:type="spellStart"/>
      <w:r w:rsidRPr="00926EF3">
        <w:rPr>
          <w:rFonts w:ascii="Times New Roman" w:hAnsi="Times New Roman" w:cs="Times New Roman"/>
          <w:sz w:val="24"/>
          <w:szCs w:val="24"/>
          <w:lang w:val="en-GB"/>
        </w:rPr>
        <w:t>Handleman</w:t>
      </w:r>
      <w:proofErr w:type="spellEnd"/>
      <w:r w:rsidRPr="00926EF3">
        <w:rPr>
          <w:rFonts w:ascii="Times New Roman" w:hAnsi="Times New Roman" w:cs="Times New Roman"/>
          <w:sz w:val="24"/>
          <w:szCs w:val="24"/>
          <w:lang w:val="en-GB"/>
        </w:rPr>
        <w:t>, ‘</w:t>
      </w:r>
      <w:proofErr w:type="spellStart"/>
      <w:r w:rsidRPr="00926EF3">
        <w:rPr>
          <w:rFonts w:ascii="Times New Roman" w:hAnsi="Times New Roman" w:cs="Times New Roman"/>
          <w:sz w:val="24"/>
          <w:szCs w:val="24"/>
          <w:lang w:val="en-GB"/>
        </w:rPr>
        <w:t>Labor</w:t>
      </w:r>
      <w:proofErr w:type="spellEnd"/>
      <w:r w:rsidRPr="00926EF3">
        <w:rPr>
          <w:rFonts w:ascii="Times New Roman" w:hAnsi="Times New Roman" w:cs="Times New Roman"/>
          <w:sz w:val="24"/>
          <w:szCs w:val="24"/>
          <w:lang w:val="en-GB"/>
        </w:rPr>
        <w:t xml:space="preserve">-Industrial Conflict and the Collapse of Uruguayan Democracy’, </w:t>
      </w:r>
      <w:r w:rsidRPr="00926EF3">
        <w:rPr>
          <w:rFonts w:ascii="Times New Roman" w:hAnsi="Times New Roman" w:cs="Times New Roman"/>
          <w:i/>
          <w:sz w:val="24"/>
          <w:szCs w:val="24"/>
          <w:lang w:val="en-GB"/>
        </w:rPr>
        <w:t xml:space="preserve">Journal of </w:t>
      </w:r>
      <w:proofErr w:type="spellStart"/>
      <w:r w:rsidRPr="00926EF3">
        <w:rPr>
          <w:rFonts w:ascii="Times New Roman" w:hAnsi="Times New Roman" w:cs="Times New Roman"/>
          <w:i/>
          <w:sz w:val="24"/>
          <w:szCs w:val="24"/>
          <w:lang w:val="en-GB"/>
        </w:rPr>
        <w:t>Interamerican</w:t>
      </w:r>
      <w:proofErr w:type="spellEnd"/>
      <w:r w:rsidRPr="00926EF3">
        <w:rPr>
          <w:rFonts w:ascii="Times New Roman" w:hAnsi="Times New Roman" w:cs="Times New Roman"/>
          <w:i/>
          <w:sz w:val="24"/>
          <w:szCs w:val="24"/>
          <w:lang w:val="en-GB"/>
        </w:rPr>
        <w:t xml:space="preserve"> Studies and World Affairs</w:t>
      </w:r>
      <w:r>
        <w:rPr>
          <w:rFonts w:ascii="Times New Roman" w:hAnsi="Times New Roman" w:cs="Times New Roman"/>
          <w:sz w:val="24"/>
          <w:szCs w:val="24"/>
          <w:lang w:val="en-GB"/>
        </w:rPr>
        <w:t xml:space="preserve"> 23: 4 (1981), pp. 371-</w:t>
      </w:r>
      <w:r w:rsidRPr="00926EF3">
        <w:rPr>
          <w:rFonts w:ascii="Times New Roman" w:hAnsi="Times New Roman" w:cs="Times New Roman"/>
          <w:sz w:val="24"/>
          <w:szCs w:val="24"/>
          <w:lang w:val="en-GB"/>
        </w:rPr>
        <w:t>94.</w:t>
      </w:r>
    </w:p>
  </w:footnote>
  <w:footnote w:id="79">
    <w:p w:rsidR="00C46EB0" w:rsidRPr="001F3022" w:rsidRDefault="00C46EB0" w:rsidP="0075746F">
      <w:pPr>
        <w:spacing w:after="0"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Alfred </w:t>
      </w:r>
      <w:proofErr w:type="spellStart"/>
      <w:r w:rsidRPr="00926EF3">
        <w:rPr>
          <w:rFonts w:ascii="Times New Roman" w:hAnsi="Times New Roman" w:cs="Times New Roman"/>
          <w:sz w:val="24"/>
          <w:szCs w:val="24"/>
          <w:lang w:val="en-GB"/>
        </w:rPr>
        <w:t>Stepan</w:t>
      </w:r>
      <w:proofErr w:type="spellEnd"/>
      <w:r w:rsidRPr="00926EF3">
        <w:rPr>
          <w:rFonts w:ascii="Times New Roman" w:hAnsi="Times New Roman" w:cs="Times New Roman"/>
          <w:sz w:val="24"/>
          <w:szCs w:val="24"/>
          <w:lang w:val="en-GB"/>
        </w:rPr>
        <w:t>, ‘Political Leadership and Regime Br</w:t>
      </w:r>
      <w:r>
        <w:rPr>
          <w:rFonts w:ascii="Times New Roman" w:hAnsi="Times New Roman" w:cs="Times New Roman"/>
          <w:sz w:val="24"/>
          <w:szCs w:val="24"/>
          <w:lang w:val="en-GB"/>
        </w:rPr>
        <w:t>eakdown: Brazil’, in Juan</w:t>
      </w:r>
      <w:r w:rsidRPr="00926EF3">
        <w:rPr>
          <w:rFonts w:ascii="Times New Roman" w:hAnsi="Times New Roman" w:cs="Times New Roman"/>
          <w:sz w:val="24"/>
          <w:szCs w:val="24"/>
          <w:lang w:val="en-GB"/>
        </w:rPr>
        <w:t xml:space="preserve"> Linz and </w:t>
      </w:r>
      <w:proofErr w:type="spellStart"/>
      <w:r w:rsidRPr="00926EF3">
        <w:rPr>
          <w:rFonts w:ascii="Times New Roman" w:hAnsi="Times New Roman" w:cs="Times New Roman"/>
          <w:sz w:val="24"/>
          <w:szCs w:val="24"/>
          <w:lang w:val="en-GB"/>
        </w:rPr>
        <w:t>Stepan</w:t>
      </w:r>
      <w:proofErr w:type="spellEnd"/>
      <w:r w:rsidRPr="00926EF3">
        <w:rPr>
          <w:rFonts w:ascii="Times New Roman" w:hAnsi="Times New Roman" w:cs="Times New Roman"/>
          <w:sz w:val="24"/>
          <w:szCs w:val="24"/>
          <w:lang w:val="en-GB"/>
        </w:rPr>
        <w:t xml:space="preserve"> (eds.), </w:t>
      </w:r>
      <w:r w:rsidRPr="00926EF3">
        <w:rPr>
          <w:rFonts w:ascii="Times New Roman" w:hAnsi="Times New Roman" w:cs="Times New Roman"/>
          <w:i/>
          <w:sz w:val="24"/>
          <w:szCs w:val="24"/>
          <w:lang w:val="en-GB"/>
        </w:rPr>
        <w:t>The Breakdown of Democratic Regimes: Latin America</w:t>
      </w:r>
      <w:r w:rsidRPr="00926EF3">
        <w:rPr>
          <w:rFonts w:ascii="Times New Roman" w:hAnsi="Times New Roman" w:cs="Times New Roman"/>
          <w:sz w:val="24"/>
          <w:szCs w:val="24"/>
          <w:lang w:val="en-GB"/>
        </w:rPr>
        <w:t xml:space="preserve"> (Baltimore: Johns Hopkins, 1978), pp. 110-137; </w:t>
      </w:r>
      <w:proofErr w:type="spellStart"/>
      <w:r w:rsidRPr="00926EF3">
        <w:rPr>
          <w:rFonts w:ascii="Times New Roman" w:hAnsi="Times New Roman" w:cs="Times New Roman"/>
          <w:sz w:val="24"/>
          <w:szCs w:val="24"/>
          <w:lang w:val="en-GB"/>
        </w:rPr>
        <w:t>Argelina</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Figueiredo</w:t>
      </w:r>
      <w:proofErr w:type="spellEnd"/>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i/>
          <w:sz w:val="24"/>
          <w:szCs w:val="24"/>
          <w:lang w:val="en-GB"/>
        </w:rPr>
        <w:t>Democracia</w:t>
      </w:r>
      <w:proofErr w:type="spellEnd"/>
      <w:r w:rsidRPr="00926EF3">
        <w:rPr>
          <w:rFonts w:ascii="Times New Roman" w:hAnsi="Times New Roman" w:cs="Times New Roman"/>
          <w:i/>
          <w:sz w:val="24"/>
          <w:szCs w:val="24"/>
          <w:lang w:val="en-GB"/>
        </w:rPr>
        <w:t xml:space="preserve"> </w:t>
      </w:r>
      <w:proofErr w:type="spellStart"/>
      <w:r w:rsidRPr="00926EF3">
        <w:rPr>
          <w:rFonts w:ascii="Times New Roman" w:hAnsi="Times New Roman" w:cs="Times New Roman"/>
          <w:i/>
          <w:sz w:val="24"/>
          <w:szCs w:val="24"/>
          <w:lang w:val="en-GB"/>
        </w:rPr>
        <w:t>ou</w:t>
      </w:r>
      <w:proofErr w:type="spellEnd"/>
      <w:r w:rsidRPr="00926EF3">
        <w:rPr>
          <w:rFonts w:ascii="Times New Roman" w:hAnsi="Times New Roman" w:cs="Times New Roman"/>
          <w:i/>
          <w:sz w:val="24"/>
          <w:szCs w:val="24"/>
          <w:lang w:val="en-GB"/>
        </w:rPr>
        <w:t xml:space="preserve"> </w:t>
      </w:r>
      <w:proofErr w:type="spellStart"/>
      <w:r w:rsidRPr="00926EF3">
        <w:rPr>
          <w:rFonts w:ascii="Times New Roman" w:hAnsi="Times New Roman" w:cs="Times New Roman"/>
          <w:i/>
          <w:sz w:val="24"/>
          <w:szCs w:val="24"/>
          <w:lang w:val="en-GB"/>
        </w:rPr>
        <w:t>reformas</w:t>
      </w:r>
      <w:proofErr w:type="spellEnd"/>
      <w:r w:rsidRPr="00926EF3">
        <w:rPr>
          <w:rFonts w:ascii="Times New Roman" w:hAnsi="Times New Roman" w:cs="Times New Roman"/>
          <w:i/>
          <w:sz w:val="24"/>
          <w:szCs w:val="24"/>
          <w:lang w:val="en-GB"/>
        </w:rPr>
        <w:t xml:space="preserve">? </w:t>
      </w:r>
      <w:r w:rsidRPr="001F3022">
        <w:rPr>
          <w:rFonts w:ascii="Times New Roman" w:hAnsi="Times New Roman" w:cs="Times New Roman"/>
          <w:i/>
          <w:sz w:val="24"/>
          <w:szCs w:val="24"/>
          <w:lang w:val="pt-BR"/>
        </w:rPr>
        <w:t>Alternativas democráticas à crise política, 1961-1964</w:t>
      </w:r>
      <w:r w:rsidRPr="001F3022">
        <w:rPr>
          <w:rFonts w:ascii="Times New Roman" w:hAnsi="Times New Roman" w:cs="Times New Roman"/>
          <w:sz w:val="24"/>
          <w:szCs w:val="24"/>
          <w:lang w:val="pt-BR"/>
        </w:rPr>
        <w:t xml:space="preserve"> (Rio de Janeiro: Paz e Terra, 1993).</w:t>
      </w:r>
    </w:p>
  </w:footnote>
  <w:footnote w:id="80">
    <w:p w:rsidR="00C46EB0" w:rsidRPr="001F3022" w:rsidRDefault="00C46EB0" w:rsidP="0075746F">
      <w:pPr>
        <w:spacing w:after="0"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Francisco C. Weffort, </w:t>
      </w:r>
      <w:r w:rsidRPr="001F3022">
        <w:rPr>
          <w:rFonts w:ascii="Times New Roman" w:hAnsi="Times New Roman" w:cs="Times New Roman"/>
          <w:i/>
          <w:sz w:val="24"/>
          <w:szCs w:val="24"/>
          <w:lang w:val="pt-BR"/>
        </w:rPr>
        <w:t>O populismo na política Brasileira</w:t>
      </w:r>
      <w:r w:rsidRPr="001F3022">
        <w:rPr>
          <w:rFonts w:ascii="Times New Roman" w:hAnsi="Times New Roman" w:cs="Times New Roman"/>
          <w:sz w:val="24"/>
          <w:szCs w:val="24"/>
          <w:lang w:val="pt-BR"/>
        </w:rPr>
        <w:t xml:space="preserve"> (Rio de Janeiro: Paz e Terra, 1980).</w:t>
      </w:r>
    </w:p>
  </w:footnote>
  <w:footnote w:id="81">
    <w:p w:rsidR="00C46EB0" w:rsidRPr="001F3022" w:rsidRDefault="00C46EB0" w:rsidP="00822002">
      <w:pPr>
        <w:pStyle w:val="FootnoteText"/>
        <w:spacing w:line="480" w:lineRule="auto"/>
        <w:rPr>
          <w:rFonts w:ascii="Times New Roman" w:hAnsi="Times New Roman" w:cs="Times New Roman"/>
          <w:sz w:val="24"/>
          <w:szCs w:val="24"/>
          <w:lang w:val="pt-BR"/>
        </w:rPr>
      </w:pPr>
      <w:r w:rsidRPr="00512D12">
        <w:rPr>
          <w:rStyle w:val="FootnoteReference"/>
          <w:rFonts w:ascii="Times New Roman" w:hAnsi="Times New Roman" w:cs="Times New Roman"/>
          <w:sz w:val="24"/>
          <w:szCs w:val="24"/>
        </w:rPr>
        <w:footnoteRef/>
      </w:r>
      <w:r w:rsidRPr="001F3022">
        <w:rPr>
          <w:rFonts w:ascii="Times New Roman" w:hAnsi="Times New Roman" w:cs="Times New Roman"/>
          <w:sz w:val="24"/>
          <w:szCs w:val="24"/>
          <w:lang w:val="pt-BR"/>
        </w:rPr>
        <w:t xml:space="preserve"> Eli Diniz and Renato Raul Boschi, </w:t>
      </w:r>
      <w:r w:rsidRPr="001F3022">
        <w:rPr>
          <w:rFonts w:ascii="Times New Roman" w:hAnsi="Times New Roman" w:cs="Times New Roman"/>
          <w:i/>
          <w:sz w:val="24"/>
          <w:szCs w:val="24"/>
          <w:lang w:val="pt-BR"/>
        </w:rPr>
        <w:t>Empresariado Nacional e Estado no Brazil</w:t>
      </w:r>
      <w:r w:rsidRPr="001F3022">
        <w:rPr>
          <w:rFonts w:ascii="Times New Roman" w:hAnsi="Times New Roman" w:cs="Times New Roman"/>
          <w:sz w:val="24"/>
          <w:szCs w:val="24"/>
          <w:lang w:val="pt-BR"/>
        </w:rPr>
        <w:t xml:space="preserve"> (Rio de Janeiro: Forense-Universitária, 1978), p. 191.</w:t>
      </w:r>
    </w:p>
  </w:footnote>
  <w:footnote w:id="82">
    <w:p w:rsidR="00C46EB0" w:rsidRPr="00512D12" w:rsidRDefault="00C46EB0" w:rsidP="00822002">
      <w:pPr>
        <w:pStyle w:val="FootnoteText"/>
        <w:spacing w:line="480" w:lineRule="auto"/>
        <w:rPr>
          <w:rFonts w:ascii="Times New Roman" w:hAnsi="Times New Roman" w:cs="Times New Roman"/>
          <w:sz w:val="24"/>
          <w:szCs w:val="24"/>
        </w:rPr>
      </w:pPr>
      <w:r w:rsidRPr="00512D1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Philippe</w:t>
      </w:r>
      <w:r w:rsidRPr="00512D12">
        <w:rPr>
          <w:rFonts w:ascii="Times New Roman" w:hAnsi="Times New Roman" w:cs="Times New Roman"/>
          <w:sz w:val="24"/>
          <w:szCs w:val="24"/>
        </w:rPr>
        <w:t xml:space="preserve"> </w:t>
      </w:r>
      <w:proofErr w:type="spellStart"/>
      <w:r w:rsidRPr="00512D12">
        <w:rPr>
          <w:rFonts w:ascii="Times New Roman" w:hAnsi="Times New Roman" w:cs="Times New Roman"/>
          <w:sz w:val="24"/>
          <w:szCs w:val="24"/>
        </w:rPr>
        <w:t>Schmitter</w:t>
      </w:r>
      <w:proofErr w:type="spellEnd"/>
      <w:r w:rsidRPr="00512D12">
        <w:rPr>
          <w:rFonts w:ascii="Times New Roman" w:hAnsi="Times New Roman" w:cs="Times New Roman"/>
          <w:sz w:val="24"/>
          <w:szCs w:val="24"/>
        </w:rPr>
        <w:t xml:space="preserve">, </w:t>
      </w:r>
      <w:r w:rsidRPr="00512D12">
        <w:rPr>
          <w:rFonts w:ascii="Times New Roman" w:hAnsi="Times New Roman" w:cs="Times New Roman"/>
          <w:i/>
          <w:sz w:val="24"/>
          <w:szCs w:val="24"/>
        </w:rPr>
        <w:t>Interest Conflict and Political Change in Brazil</w:t>
      </w:r>
      <w:r w:rsidRPr="00512D12">
        <w:rPr>
          <w:rFonts w:ascii="Times New Roman" w:hAnsi="Times New Roman" w:cs="Times New Roman"/>
          <w:sz w:val="24"/>
          <w:szCs w:val="24"/>
        </w:rPr>
        <w:t xml:space="preserve"> (Stanford: Stanford University Press, 1971), pp. 375-376.</w:t>
      </w:r>
    </w:p>
  </w:footnote>
  <w:footnote w:id="83">
    <w:p w:rsidR="00C46EB0" w:rsidRPr="00512D12" w:rsidRDefault="00C46EB0" w:rsidP="00822002">
      <w:pPr>
        <w:pStyle w:val="FootnoteText"/>
        <w:spacing w:line="480" w:lineRule="auto"/>
        <w:rPr>
          <w:rFonts w:ascii="Times New Roman" w:hAnsi="Times New Roman" w:cs="Times New Roman"/>
          <w:sz w:val="24"/>
          <w:szCs w:val="24"/>
        </w:rPr>
      </w:pPr>
      <w:r w:rsidRPr="00512D12">
        <w:rPr>
          <w:rStyle w:val="FootnoteReference"/>
          <w:rFonts w:ascii="Times New Roman" w:hAnsi="Times New Roman" w:cs="Times New Roman"/>
          <w:sz w:val="24"/>
          <w:szCs w:val="24"/>
        </w:rPr>
        <w:footnoteRef/>
      </w:r>
      <w:r w:rsidRPr="00512D12">
        <w:rPr>
          <w:rFonts w:ascii="Times New Roman" w:hAnsi="Times New Roman" w:cs="Times New Roman"/>
          <w:sz w:val="24"/>
          <w:szCs w:val="24"/>
        </w:rPr>
        <w:t xml:space="preserve"> Evans, </w:t>
      </w:r>
      <w:r w:rsidRPr="00822002">
        <w:rPr>
          <w:rFonts w:ascii="Times New Roman" w:hAnsi="Times New Roman" w:cs="Times New Roman"/>
          <w:i/>
          <w:sz w:val="24"/>
          <w:szCs w:val="24"/>
        </w:rPr>
        <w:t>Dependent Development</w:t>
      </w:r>
      <w:r w:rsidRPr="00512D12">
        <w:rPr>
          <w:rFonts w:ascii="Times New Roman" w:hAnsi="Times New Roman" w:cs="Times New Roman"/>
          <w:sz w:val="24"/>
          <w:szCs w:val="24"/>
        </w:rPr>
        <w:t xml:space="preserve">; </w:t>
      </w:r>
      <w:r>
        <w:rPr>
          <w:rFonts w:ascii="Times New Roman" w:hAnsi="Times New Roman" w:cs="Times New Roman"/>
          <w:sz w:val="24"/>
          <w:szCs w:val="24"/>
        </w:rPr>
        <w:t xml:space="preserve">Peter R. </w:t>
      </w:r>
      <w:r w:rsidRPr="00512D12">
        <w:rPr>
          <w:rFonts w:ascii="Times New Roman" w:hAnsi="Times New Roman" w:cs="Times New Roman"/>
          <w:sz w:val="24"/>
          <w:szCs w:val="24"/>
        </w:rPr>
        <w:t>Kingston</w:t>
      </w:r>
      <w:r>
        <w:rPr>
          <w:rFonts w:ascii="Times New Roman" w:hAnsi="Times New Roman" w:cs="Times New Roman"/>
          <w:sz w:val="24"/>
          <w:szCs w:val="24"/>
        </w:rPr>
        <w:t>e</w:t>
      </w:r>
      <w:r w:rsidRPr="00512D12">
        <w:rPr>
          <w:rFonts w:ascii="Times New Roman" w:hAnsi="Times New Roman" w:cs="Times New Roman"/>
          <w:sz w:val="24"/>
          <w:szCs w:val="24"/>
        </w:rPr>
        <w:t xml:space="preserve">, </w:t>
      </w:r>
      <w:r w:rsidRPr="00822002">
        <w:rPr>
          <w:rFonts w:ascii="Times New Roman" w:hAnsi="Times New Roman" w:cs="Times New Roman"/>
          <w:i/>
          <w:sz w:val="24"/>
          <w:szCs w:val="24"/>
        </w:rPr>
        <w:t>Crafting Coalitions for Reform</w:t>
      </w:r>
      <w:r>
        <w:rPr>
          <w:rFonts w:ascii="Times New Roman" w:hAnsi="Times New Roman" w:cs="Times New Roman"/>
          <w:sz w:val="24"/>
          <w:szCs w:val="24"/>
        </w:rPr>
        <w:t xml:space="preserve">: </w:t>
      </w:r>
      <w:r w:rsidRPr="00822002">
        <w:rPr>
          <w:rFonts w:ascii="Times New Roman" w:hAnsi="Times New Roman" w:cs="Times New Roman"/>
          <w:i/>
          <w:sz w:val="24"/>
          <w:szCs w:val="24"/>
        </w:rPr>
        <w:t>Business Preferences, Political Institutions and Neoliberal Reform in Brazil</w:t>
      </w:r>
      <w:r>
        <w:rPr>
          <w:rFonts w:ascii="Times New Roman" w:hAnsi="Times New Roman" w:cs="Times New Roman"/>
          <w:sz w:val="24"/>
          <w:szCs w:val="24"/>
        </w:rPr>
        <w:t xml:space="preserve"> (University Park: Penn State University Press, 1999); </w:t>
      </w:r>
      <w:r w:rsidRPr="00926EF3">
        <w:rPr>
          <w:rFonts w:ascii="Times New Roman" w:hAnsi="Times New Roman" w:cs="Times New Roman"/>
          <w:sz w:val="24"/>
          <w:szCs w:val="24"/>
          <w:lang w:val="en-GB"/>
        </w:rPr>
        <w:t xml:space="preserve">Gail D. </w:t>
      </w:r>
      <w:proofErr w:type="spellStart"/>
      <w:r w:rsidRPr="00926EF3">
        <w:rPr>
          <w:rFonts w:ascii="Times New Roman" w:hAnsi="Times New Roman" w:cs="Times New Roman"/>
          <w:sz w:val="24"/>
          <w:szCs w:val="24"/>
          <w:lang w:val="en-GB"/>
        </w:rPr>
        <w:t>Triner</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Mining and the State in Brazilian Development</w:t>
      </w:r>
      <w:r w:rsidRPr="00926EF3">
        <w:rPr>
          <w:rFonts w:ascii="Times New Roman" w:hAnsi="Times New Roman" w:cs="Times New Roman"/>
          <w:sz w:val="24"/>
          <w:szCs w:val="24"/>
          <w:lang w:val="en-GB"/>
        </w:rPr>
        <w:t xml:space="preserve"> (London: Pickering and </w:t>
      </w:r>
      <w:proofErr w:type="spellStart"/>
      <w:r w:rsidRPr="00926EF3">
        <w:rPr>
          <w:rFonts w:ascii="Times New Roman" w:hAnsi="Times New Roman" w:cs="Times New Roman"/>
          <w:sz w:val="24"/>
          <w:szCs w:val="24"/>
          <w:lang w:val="en-GB"/>
        </w:rPr>
        <w:t>Chatto</w:t>
      </w:r>
      <w:proofErr w:type="spellEnd"/>
      <w:r w:rsidRPr="00926EF3">
        <w:rPr>
          <w:rFonts w:ascii="Times New Roman" w:hAnsi="Times New Roman" w:cs="Times New Roman"/>
          <w:sz w:val="24"/>
          <w:szCs w:val="24"/>
          <w:lang w:val="en-GB"/>
        </w:rPr>
        <w:t>, 2011)</w:t>
      </w:r>
      <w:r>
        <w:rPr>
          <w:rFonts w:ascii="Times New Roman" w:hAnsi="Times New Roman" w:cs="Times New Roman"/>
          <w:sz w:val="24"/>
          <w:szCs w:val="24"/>
          <w:lang w:val="en-GB"/>
        </w:rPr>
        <w:t>.</w:t>
      </w:r>
    </w:p>
  </w:footnote>
  <w:footnote w:id="84">
    <w:p w:rsidR="00C46EB0" w:rsidRPr="00512D12" w:rsidRDefault="00C46EB0" w:rsidP="00822002">
      <w:pPr>
        <w:spacing w:after="0" w:line="480" w:lineRule="auto"/>
        <w:rPr>
          <w:rFonts w:ascii="Times New Roman" w:hAnsi="Times New Roman" w:cs="Times New Roman"/>
          <w:sz w:val="24"/>
          <w:szCs w:val="24"/>
          <w:lang w:val="en-GB"/>
        </w:rPr>
      </w:pPr>
      <w:r w:rsidRPr="00512D12">
        <w:rPr>
          <w:rStyle w:val="FootnoteReference"/>
          <w:rFonts w:ascii="Times New Roman" w:hAnsi="Times New Roman" w:cs="Times New Roman"/>
          <w:sz w:val="24"/>
          <w:szCs w:val="24"/>
          <w:lang w:val="en-GB"/>
        </w:rPr>
        <w:footnoteRef/>
      </w:r>
      <w:r w:rsidRPr="00512D12">
        <w:rPr>
          <w:rFonts w:ascii="Times New Roman" w:hAnsi="Times New Roman" w:cs="Times New Roman"/>
          <w:sz w:val="24"/>
          <w:szCs w:val="24"/>
          <w:lang w:val="en-GB"/>
        </w:rPr>
        <w:t xml:space="preserve"> Kathryn </w:t>
      </w:r>
      <w:proofErr w:type="spellStart"/>
      <w:r w:rsidRPr="00512D12">
        <w:rPr>
          <w:rFonts w:ascii="Times New Roman" w:hAnsi="Times New Roman" w:cs="Times New Roman"/>
          <w:sz w:val="24"/>
          <w:szCs w:val="24"/>
          <w:lang w:val="en-GB"/>
        </w:rPr>
        <w:t>Sikkink</w:t>
      </w:r>
      <w:proofErr w:type="spellEnd"/>
      <w:r w:rsidRPr="00512D12">
        <w:rPr>
          <w:rFonts w:ascii="Times New Roman" w:hAnsi="Times New Roman" w:cs="Times New Roman"/>
          <w:sz w:val="24"/>
          <w:szCs w:val="24"/>
          <w:lang w:val="en-GB"/>
        </w:rPr>
        <w:t xml:space="preserve">, </w:t>
      </w:r>
      <w:r w:rsidRPr="00512D12">
        <w:rPr>
          <w:rFonts w:ascii="Times New Roman" w:hAnsi="Times New Roman" w:cs="Times New Roman"/>
          <w:i/>
          <w:sz w:val="24"/>
          <w:szCs w:val="24"/>
          <w:lang w:val="en-GB"/>
        </w:rPr>
        <w:t xml:space="preserve">Ideas and Institutions: </w:t>
      </w:r>
      <w:proofErr w:type="spellStart"/>
      <w:r w:rsidRPr="00512D12">
        <w:rPr>
          <w:rFonts w:ascii="Times New Roman" w:hAnsi="Times New Roman" w:cs="Times New Roman"/>
          <w:i/>
          <w:sz w:val="24"/>
          <w:szCs w:val="24"/>
          <w:lang w:val="en-GB"/>
        </w:rPr>
        <w:t>Developmentalism</w:t>
      </w:r>
      <w:proofErr w:type="spellEnd"/>
      <w:r w:rsidRPr="00512D12">
        <w:rPr>
          <w:rFonts w:ascii="Times New Roman" w:hAnsi="Times New Roman" w:cs="Times New Roman"/>
          <w:i/>
          <w:sz w:val="24"/>
          <w:szCs w:val="24"/>
          <w:lang w:val="en-GB"/>
        </w:rPr>
        <w:t xml:space="preserve"> in Brazil and Argentina</w:t>
      </w:r>
      <w:r w:rsidRPr="00512D12">
        <w:rPr>
          <w:rFonts w:ascii="Times New Roman" w:hAnsi="Times New Roman" w:cs="Times New Roman"/>
          <w:sz w:val="24"/>
          <w:szCs w:val="24"/>
          <w:lang w:val="en-GB"/>
        </w:rPr>
        <w:t xml:space="preserve"> (Ithaca: Cornell University Press, 1991), p. 67.</w:t>
      </w:r>
    </w:p>
  </w:footnote>
  <w:footnote w:id="85">
    <w:p w:rsidR="00C46EB0" w:rsidRPr="002D4355" w:rsidRDefault="00C46EB0" w:rsidP="00D8119B">
      <w:pPr>
        <w:pStyle w:val="FootnoteText"/>
        <w:spacing w:line="480" w:lineRule="auto"/>
        <w:rPr>
          <w:rFonts w:ascii="Times New Roman" w:hAnsi="Times New Roman" w:cs="Times New Roman"/>
          <w:sz w:val="24"/>
          <w:szCs w:val="24"/>
        </w:rPr>
      </w:pPr>
      <w:r w:rsidRPr="002D4355">
        <w:rPr>
          <w:rStyle w:val="FootnoteReference"/>
          <w:rFonts w:ascii="Times New Roman" w:hAnsi="Times New Roman" w:cs="Times New Roman"/>
          <w:sz w:val="24"/>
          <w:szCs w:val="24"/>
        </w:rPr>
        <w:footnoteRef/>
      </w:r>
      <w:r w:rsidRPr="002D4355">
        <w:rPr>
          <w:rFonts w:ascii="Times New Roman" w:hAnsi="Times New Roman" w:cs="Times New Roman"/>
          <w:sz w:val="24"/>
          <w:szCs w:val="24"/>
        </w:rPr>
        <w:t xml:space="preserve"> </w:t>
      </w:r>
      <w:proofErr w:type="spellStart"/>
      <w:r>
        <w:rPr>
          <w:rFonts w:ascii="Times New Roman" w:hAnsi="Times New Roman" w:cs="Times New Roman"/>
          <w:sz w:val="24"/>
          <w:szCs w:val="24"/>
        </w:rPr>
        <w:t>Diniz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Boschi</w:t>
      </w:r>
      <w:proofErr w:type="spellEnd"/>
      <w:r>
        <w:rPr>
          <w:rFonts w:ascii="Times New Roman" w:hAnsi="Times New Roman" w:cs="Times New Roman"/>
          <w:sz w:val="24"/>
          <w:szCs w:val="24"/>
        </w:rPr>
        <w:t xml:space="preserve">, </w:t>
      </w:r>
      <w:proofErr w:type="spellStart"/>
      <w:r w:rsidRPr="009F5E6D">
        <w:rPr>
          <w:rFonts w:ascii="Times New Roman" w:hAnsi="Times New Roman" w:cs="Times New Roman"/>
          <w:i/>
          <w:sz w:val="24"/>
          <w:szCs w:val="24"/>
        </w:rPr>
        <w:t>Empresariado</w:t>
      </w:r>
      <w:proofErr w:type="spellEnd"/>
      <w:r w:rsidRPr="009F5E6D">
        <w:rPr>
          <w:rFonts w:ascii="Times New Roman" w:hAnsi="Times New Roman" w:cs="Times New Roman"/>
          <w:i/>
          <w:sz w:val="24"/>
          <w:szCs w:val="24"/>
        </w:rPr>
        <w:t xml:space="preserve"> Nacional</w:t>
      </w:r>
      <w:r>
        <w:rPr>
          <w:rFonts w:ascii="Times New Roman" w:hAnsi="Times New Roman" w:cs="Times New Roman"/>
          <w:sz w:val="24"/>
          <w:szCs w:val="24"/>
        </w:rPr>
        <w:t>, p. 191;</w:t>
      </w:r>
      <w:r w:rsidRPr="002D4355">
        <w:rPr>
          <w:rFonts w:ascii="Times New Roman" w:hAnsi="Times New Roman" w:cs="Times New Roman"/>
          <w:sz w:val="24"/>
          <w:szCs w:val="24"/>
        </w:rPr>
        <w:t xml:space="preserve"> Schneider, </w:t>
      </w:r>
      <w:r w:rsidRPr="002D4355">
        <w:rPr>
          <w:rFonts w:ascii="Times New Roman" w:hAnsi="Times New Roman" w:cs="Times New Roman"/>
          <w:i/>
          <w:sz w:val="24"/>
          <w:szCs w:val="24"/>
        </w:rPr>
        <w:t>Bu</w:t>
      </w:r>
      <w:r>
        <w:rPr>
          <w:rFonts w:ascii="Times New Roman" w:hAnsi="Times New Roman" w:cs="Times New Roman"/>
          <w:i/>
          <w:sz w:val="24"/>
          <w:szCs w:val="24"/>
        </w:rPr>
        <w:t>siness Politics</w:t>
      </w:r>
      <w:r>
        <w:rPr>
          <w:rFonts w:ascii="Times New Roman" w:hAnsi="Times New Roman" w:cs="Times New Roman"/>
          <w:sz w:val="24"/>
          <w:szCs w:val="24"/>
        </w:rPr>
        <w:t>, p. 112.</w:t>
      </w:r>
    </w:p>
  </w:footnote>
  <w:footnote w:id="86">
    <w:p w:rsidR="00C46EB0" w:rsidRPr="00926EF3" w:rsidRDefault="00C46EB0" w:rsidP="00803C8A">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Indira Palacios-Valladares, </w:t>
      </w:r>
      <w:r w:rsidRPr="00926EF3">
        <w:rPr>
          <w:rFonts w:ascii="Times New Roman" w:hAnsi="Times New Roman" w:cs="Times New Roman"/>
          <w:i/>
          <w:sz w:val="24"/>
          <w:szCs w:val="24"/>
          <w:lang w:val="en-GB"/>
        </w:rPr>
        <w:t>Industrial Relations after Pinochet: Firm Level Unionism and Collective Bargaining Outcomes in Chile</w:t>
      </w:r>
      <w:r w:rsidRPr="00926EF3">
        <w:rPr>
          <w:rFonts w:ascii="Times New Roman" w:hAnsi="Times New Roman" w:cs="Times New Roman"/>
          <w:sz w:val="24"/>
          <w:szCs w:val="24"/>
          <w:lang w:val="en-GB"/>
        </w:rPr>
        <w:t xml:space="preserve"> (London: Peter Lang, 2010).</w:t>
      </w:r>
    </w:p>
  </w:footnote>
  <w:footnote w:id="87">
    <w:p w:rsidR="00C46EB0" w:rsidRPr="00DD0E01" w:rsidRDefault="00C46EB0" w:rsidP="00DD0E01">
      <w:pPr>
        <w:pStyle w:val="FootnoteText"/>
        <w:spacing w:line="480" w:lineRule="auto"/>
        <w:rPr>
          <w:rFonts w:ascii="Times New Roman" w:hAnsi="Times New Roman" w:cs="Times New Roman"/>
          <w:sz w:val="24"/>
          <w:szCs w:val="24"/>
          <w:lang w:val="en-GB"/>
        </w:rPr>
      </w:pPr>
      <w:r w:rsidRPr="00DD0E01">
        <w:rPr>
          <w:rStyle w:val="FootnoteReference"/>
          <w:rFonts w:ascii="Times New Roman" w:hAnsi="Times New Roman" w:cs="Times New Roman"/>
          <w:sz w:val="24"/>
          <w:szCs w:val="24"/>
          <w:lang w:val="en-GB"/>
        </w:rPr>
        <w:footnoteRef/>
      </w:r>
      <w:r w:rsidRPr="00DD0E01">
        <w:rPr>
          <w:rFonts w:ascii="Times New Roman" w:hAnsi="Times New Roman" w:cs="Times New Roman"/>
          <w:sz w:val="24"/>
          <w:szCs w:val="24"/>
          <w:lang w:val="en-GB"/>
        </w:rPr>
        <w:t xml:space="preserve"> Oscar </w:t>
      </w:r>
      <w:proofErr w:type="spellStart"/>
      <w:r w:rsidRPr="00DD0E01">
        <w:rPr>
          <w:rFonts w:ascii="Times New Roman" w:hAnsi="Times New Roman" w:cs="Times New Roman"/>
          <w:sz w:val="24"/>
          <w:szCs w:val="24"/>
          <w:lang w:val="en-GB"/>
        </w:rPr>
        <w:t>Landerretche</w:t>
      </w:r>
      <w:proofErr w:type="spellEnd"/>
      <w:r w:rsidRPr="00DD0E01">
        <w:rPr>
          <w:rFonts w:ascii="Times New Roman" w:hAnsi="Times New Roman" w:cs="Times New Roman"/>
          <w:sz w:val="24"/>
          <w:szCs w:val="24"/>
          <w:lang w:val="en-GB"/>
        </w:rPr>
        <w:t xml:space="preserve">, ‘Economic Policy and the Ideology of Stability’, in Kirsten </w:t>
      </w:r>
      <w:proofErr w:type="spellStart"/>
      <w:r w:rsidRPr="00DD0E01">
        <w:rPr>
          <w:rFonts w:ascii="Times New Roman" w:hAnsi="Times New Roman" w:cs="Times New Roman"/>
          <w:sz w:val="24"/>
          <w:szCs w:val="24"/>
          <w:lang w:val="en-GB"/>
        </w:rPr>
        <w:t>Sehnbruch</w:t>
      </w:r>
      <w:proofErr w:type="spellEnd"/>
      <w:r w:rsidRPr="00DD0E01">
        <w:rPr>
          <w:rFonts w:ascii="Times New Roman" w:hAnsi="Times New Roman" w:cs="Times New Roman"/>
          <w:sz w:val="24"/>
          <w:szCs w:val="24"/>
          <w:lang w:val="en-GB"/>
        </w:rPr>
        <w:t xml:space="preserve"> and Peter </w:t>
      </w:r>
      <w:proofErr w:type="spellStart"/>
      <w:r w:rsidRPr="00DD0E01">
        <w:rPr>
          <w:rFonts w:ascii="Times New Roman" w:hAnsi="Times New Roman" w:cs="Times New Roman"/>
          <w:sz w:val="24"/>
          <w:szCs w:val="24"/>
          <w:lang w:val="en-GB"/>
        </w:rPr>
        <w:t>Siavelis</w:t>
      </w:r>
      <w:proofErr w:type="spellEnd"/>
      <w:r w:rsidRPr="00DD0E01">
        <w:rPr>
          <w:rFonts w:ascii="Times New Roman" w:hAnsi="Times New Roman" w:cs="Times New Roman"/>
          <w:sz w:val="24"/>
          <w:szCs w:val="24"/>
          <w:lang w:val="en-GB"/>
        </w:rPr>
        <w:t xml:space="preserve"> (eds.), </w:t>
      </w:r>
      <w:r w:rsidRPr="00DD0E01">
        <w:rPr>
          <w:rFonts w:ascii="Times New Roman" w:hAnsi="Times New Roman" w:cs="Times New Roman"/>
          <w:i/>
          <w:sz w:val="24"/>
          <w:szCs w:val="24"/>
          <w:lang w:val="en-GB"/>
        </w:rPr>
        <w:t>Democratic Chile: The Politics and Policies of a Historic Coalition, 1990-2010</w:t>
      </w:r>
      <w:r w:rsidRPr="00DD0E01">
        <w:rPr>
          <w:rFonts w:ascii="Times New Roman" w:hAnsi="Times New Roman" w:cs="Times New Roman"/>
          <w:sz w:val="24"/>
          <w:szCs w:val="24"/>
          <w:lang w:val="en-GB"/>
        </w:rPr>
        <w:t xml:space="preserve"> (Boulder: Lynne </w:t>
      </w:r>
      <w:proofErr w:type="spellStart"/>
      <w:r w:rsidRPr="00DD0E01">
        <w:rPr>
          <w:rFonts w:ascii="Times New Roman" w:hAnsi="Times New Roman" w:cs="Times New Roman"/>
          <w:sz w:val="24"/>
          <w:szCs w:val="24"/>
          <w:lang w:val="en-GB"/>
        </w:rPr>
        <w:t>Rienner</w:t>
      </w:r>
      <w:proofErr w:type="spellEnd"/>
      <w:r w:rsidRPr="00DD0E01">
        <w:rPr>
          <w:rFonts w:ascii="Times New Roman" w:hAnsi="Times New Roman" w:cs="Times New Roman"/>
          <w:sz w:val="24"/>
          <w:szCs w:val="24"/>
          <w:lang w:val="en-GB"/>
        </w:rPr>
        <w:t>, 2013), pp. 173-98.</w:t>
      </w:r>
    </w:p>
  </w:footnote>
  <w:footnote w:id="88">
    <w:p w:rsidR="00C46EB0" w:rsidRPr="00DD0E01" w:rsidRDefault="00C46EB0" w:rsidP="00DD0E01">
      <w:pPr>
        <w:pStyle w:val="FootnoteText"/>
        <w:spacing w:line="480" w:lineRule="auto"/>
        <w:rPr>
          <w:rFonts w:ascii="Times New Roman" w:hAnsi="Times New Roman" w:cs="Times New Roman"/>
          <w:sz w:val="24"/>
          <w:szCs w:val="24"/>
        </w:rPr>
      </w:pPr>
      <w:r w:rsidRPr="00DD0E01">
        <w:rPr>
          <w:rStyle w:val="FootnoteReference"/>
          <w:rFonts w:ascii="Times New Roman" w:hAnsi="Times New Roman" w:cs="Times New Roman"/>
          <w:sz w:val="24"/>
          <w:szCs w:val="24"/>
        </w:rPr>
        <w:footnoteRef/>
      </w:r>
      <w:r w:rsidRPr="00DD0E01">
        <w:rPr>
          <w:rFonts w:ascii="Times New Roman" w:hAnsi="Times New Roman" w:cs="Times New Roman"/>
          <w:sz w:val="24"/>
          <w:szCs w:val="24"/>
        </w:rPr>
        <w:t xml:space="preserve"> </w:t>
      </w:r>
      <w:r w:rsidRPr="00880633">
        <w:rPr>
          <w:rFonts w:ascii="Times New Roman" w:hAnsi="Times New Roman" w:cs="Times New Roman"/>
          <w:sz w:val="24"/>
          <w:szCs w:val="24"/>
        </w:rPr>
        <w:t>Tasha Fairfield, ‘The Political Economy of Progressive Tax Reform in Chil</w:t>
      </w:r>
      <w:r>
        <w:rPr>
          <w:rFonts w:ascii="Times New Roman" w:hAnsi="Times New Roman" w:cs="Times New Roman"/>
          <w:sz w:val="24"/>
          <w:szCs w:val="24"/>
        </w:rPr>
        <w:t xml:space="preserve">e’, Woodrow Wilson Center, 2014; Jennifer </w:t>
      </w:r>
      <w:proofErr w:type="spellStart"/>
      <w:r>
        <w:rPr>
          <w:rFonts w:ascii="Times New Roman" w:hAnsi="Times New Roman" w:cs="Times New Roman"/>
          <w:sz w:val="24"/>
          <w:szCs w:val="24"/>
        </w:rPr>
        <w:t>Pribble</w:t>
      </w:r>
      <w:proofErr w:type="spellEnd"/>
      <w:r>
        <w:rPr>
          <w:rFonts w:ascii="Times New Roman" w:hAnsi="Times New Roman" w:cs="Times New Roman"/>
          <w:sz w:val="24"/>
          <w:szCs w:val="24"/>
        </w:rPr>
        <w:t xml:space="preserve">, </w:t>
      </w:r>
      <w:r w:rsidRPr="00880633">
        <w:rPr>
          <w:rFonts w:ascii="Times New Roman" w:hAnsi="Times New Roman" w:cs="Times New Roman"/>
          <w:i/>
          <w:sz w:val="24"/>
          <w:szCs w:val="24"/>
        </w:rPr>
        <w:t>Welfare and Party Politics in Latin America</w:t>
      </w:r>
      <w:r>
        <w:rPr>
          <w:rFonts w:ascii="Times New Roman" w:hAnsi="Times New Roman" w:cs="Times New Roman"/>
          <w:sz w:val="24"/>
          <w:szCs w:val="24"/>
        </w:rPr>
        <w:t xml:space="preserve"> (Cambridge: Cambridge University Press, 2013).</w:t>
      </w:r>
    </w:p>
  </w:footnote>
  <w:footnote w:id="89">
    <w:p w:rsidR="00C46EB0" w:rsidRPr="00DD0E01" w:rsidRDefault="00C46EB0" w:rsidP="00DD0E01">
      <w:pPr>
        <w:pStyle w:val="FootnoteText"/>
        <w:spacing w:line="480" w:lineRule="auto"/>
        <w:rPr>
          <w:rFonts w:ascii="Times New Roman" w:hAnsi="Times New Roman" w:cs="Times New Roman"/>
          <w:sz w:val="24"/>
          <w:szCs w:val="24"/>
          <w:lang w:val="es-CL"/>
        </w:rPr>
      </w:pPr>
      <w:r w:rsidRPr="00DD0E01">
        <w:rPr>
          <w:rStyle w:val="FootnoteReference"/>
          <w:rFonts w:ascii="Times New Roman" w:hAnsi="Times New Roman" w:cs="Times New Roman"/>
          <w:sz w:val="24"/>
          <w:szCs w:val="24"/>
          <w:lang w:val="en-GB"/>
        </w:rPr>
        <w:footnoteRef/>
      </w:r>
      <w:r w:rsidRPr="00DD0E01">
        <w:rPr>
          <w:rFonts w:ascii="Times New Roman" w:hAnsi="Times New Roman" w:cs="Times New Roman"/>
          <w:sz w:val="24"/>
          <w:szCs w:val="24"/>
          <w:lang w:val="es-CL"/>
        </w:rPr>
        <w:t xml:space="preserve"> María Victoria Murillo, ‘Cambio y continuidad del sindicalismo en democracia’, </w:t>
      </w:r>
      <w:r w:rsidRPr="00DD0E01">
        <w:rPr>
          <w:rFonts w:ascii="Times New Roman" w:hAnsi="Times New Roman" w:cs="Times New Roman"/>
          <w:i/>
          <w:sz w:val="24"/>
          <w:szCs w:val="24"/>
          <w:lang w:val="es-CL"/>
        </w:rPr>
        <w:t xml:space="preserve">Revista SAAP </w:t>
      </w:r>
      <w:r w:rsidRPr="00DD0E01">
        <w:rPr>
          <w:rFonts w:ascii="Times New Roman" w:hAnsi="Times New Roman" w:cs="Times New Roman"/>
          <w:sz w:val="24"/>
          <w:szCs w:val="24"/>
          <w:lang w:val="es-CL"/>
        </w:rPr>
        <w:t xml:space="preserve">7: 2 (2013), pp. 339-348.  </w:t>
      </w:r>
    </w:p>
  </w:footnote>
  <w:footnote w:id="90">
    <w:p w:rsidR="00C46EB0" w:rsidRPr="00DD0E01" w:rsidRDefault="00C46EB0" w:rsidP="00DD0E01">
      <w:pPr>
        <w:pStyle w:val="FootnoteText"/>
        <w:spacing w:line="480" w:lineRule="auto"/>
        <w:rPr>
          <w:rFonts w:ascii="Times New Roman" w:hAnsi="Times New Roman" w:cs="Times New Roman"/>
          <w:sz w:val="24"/>
          <w:szCs w:val="24"/>
          <w:lang w:val="es-CL"/>
        </w:rPr>
      </w:pPr>
      <w:r w:rsidRPr="00DD0E01">
        <w:rPr>
          <w:rStyle w:val="FootnoteReference"/>
          <w:rFonts w:ascii="Times New Roman" w:hAnsi="Times New Roman" w:cs="Times New Roman"/>
          <w:sz w:val="24"/>
          <w:szCs w:val="24"/>
          <w:lang w:val="en-GB"/>
        </w:rPr>
        <w:footnoteRef/>
      </w:r>
      <w:r w:rsidRPr="00DD0E01">
        <w:rPr>
          <w:rFonts w:ascii="Times New Roman" w:hAnsi="Times New Roman" w:cs="Times New Roman"/>
          <w:sz w:val="24"/>
          <w:szCs w:val="24"/>
          <w:lang w:val="es-CL"/>
        </w:rPr>
        <w:t xml:space="preserve"> </w:t>
      </w:r>
      <w:proofErr w:type="spellStart"/>
      <w:r w:rsidRPr="00DD0E01">
        <w:rPr>
          <w:rFonts w:ascii="Times New Roman" w:hAnsi="Times New Roman" w:cs="Times New Roman"/>
          <w:sz w:val="24"/>
          <w:szCs w:val="24"/>
          <w:lang w:val="es-CL"/>
        </w:rPr>
        <w:t>Azpiazu</w:t>
      </w:r>
      <w:proofErr w:type="spellEnd"/>
      <w:r w:rsidRPr="00DD0E01">
        <w:rPr>
          <w:rFonts w:ascii="Times New Roman" w:hAnsi="Times New Roman" w:cs="Times New Roman"/>
          <w:sz w:val="24"/>
          <w:szCs w:val="24"/>
          <w:lang w:val="es-CL"/>
        </w:rPr>
        <w:t xml:space="preserve"> and </w:t>
      </w:r>
      <w:proofErr w:type="spellStart"/>
      <w:r w:rsidRPr="00DD0E01">
        <w:rPr>
          <w:rFonts w:ascii="Times New Roman" w:hAnsi="Times New Roman" w:cs="Times New Roman"/>
          <w:sz w:val="24"/>
          <w:szCs w:val="24"/>
          <w:lang w:val="es-CL"/>
        </w:rPr>
        <w:t>Schorr</w:t>
      </w:r>
      <w:proofErr w:type="spellEnd"/>
      <w:r w:rsidRPr="00DD0E01">
        <w:rPr>
          <w:rFonts w:ascii="Times New Roman" w:hAnsi="Times New Roman" w:cs="Times New Roman"/>
          <w:sz w:val="24"/>
          <w:szCs w:val="24"/>
          <w:lang w:val="es-CL"/>
        </w:rPr>
        <w:t xml:space="preserve">, </w:t>
      </w:r>
      <w:r w:rsidRPr="00DD0E01">
        <w:rPr>
          <w:rFonts w:ascii="Times New Roman" w:hAnsi="Times New Roman" w:cs="Times New Roman"/>
          <w:i/>
          <w:sz w:val="24"/>
          <w:szCs w:val="24"/>
          <w:lang w:val="es-CL"/>
        </w:rPr>
        <w:t>Hecho en Argentina</w:t>
      </w:r>
      <w:r w:rsidRPr="00DD0E01">
        <w:rPr>
          <w:rFonts w:ascii="Times New Roman" w:hAnsi="Times New Roman" w:cs="Times New Roman"/>
          <w:sz w:val="24"/>
          <w:szCs w:val="24"/>
          <w:lang w:val="es-CL"/>
        </w:rPr>
        <w:t>.</w:t>
      </w:r>
    </w:p>
  </w:footnote>
  <w:footnote w:id="91">
    <w:p w:rsidR="00C46EB0" w:rsidRPr="007728BA" w:rsidRDefault="00C46EB0" w:rsidP="0075746F">
      <w:pPr>
        <w:pStyle w:val="FootnoteText"/>
        <w:spacing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Rosa </w:t>
      </w:r>
      <w:proofErr w:type="spellStart"/>
      <w:r w:rsidRPr="007728BA">
        <w:rPr>
          <w:rFonts w:ascii="Times New Roman" w:hAnsi="Times New Roman" w:cs="Times New Roman"/>
          <w:sz w:val="24"/>
          <w:szCs w:val="24"/>
          <w:lang w:val="es-CL"/>
        </w:rPr>
        <w:t>Osimani</w:t>
      </w:r>
      <w:proofErr w:type="spellEnd"/>
      <w:r w:rsidRPr="007728BA">
        <w:rPr>
          <w:rFonts w:ascii="Times New Roman" w:hAnsi="Times New Roman" w:cs="Times New Roman"/>
          <w:sz w:val="24"/>
          <w:szCs w:val="24"/>
          <w:lang w:val="es-CL"/>
        </w:rPr>
        <w:t xml:space="preserve"> and </w:t>
      </w:r>
      <w:proofErr w:type="spellStart"/>
      <w:r w:rsidRPr="007728BA">
        <w:rPr>
          <w:rFonts w:ascii="Times New Roman" w:hAnsi="Times New Roman" w:cs="Times New Roman"/>
          <w:sz w:val="24"/>
          <w:szCs w:val="24"/>
          <w:lang w:val="es-CL"/>
        </w:rPr>
        <w:t>Rosina</w:t>
      </w:r>
      <w:proofErr w:type="spellEnd"/>
      <w:r w:rsidRPr="007728BA">
        <w:rPr>
          <w:rFonts w:ascii="Times New Roman" w:hAnsi="Times New Roman" w:cs="Times New Roman"/>
          <w:sz w:val="24"/>
          <w:szCs w:val="24"/>
          <w:lang w:val="es-CL"/>
        </w:rPr>
        <w:t xml:space="preserve"> </w:t>
      </w:r>
      <w:proofErr w:type="spellStart"/>
      <w:r w:rsidRPr="007728BA">
        <w:rPr>
          <w:rFonts w:ascii="Times New Roman" w:hAnsi="Times New Roman" w:cs="Times New Roman"/>
          <w:sz w:val="24"/>
          <w:szCs w:val="24"/>
          <w:lang w:val="es-CL"/>
        </w:rPr>
        <w:t>Estol</w:t>
      </w:r>
      <w:proofErr w:type="spellEnd"/>
      <w:r w:rsidRPr="007728BA">
        <w:rPr>
          <w:rFonts w:ascii="Times New Roman" w:hAnsi="Times New Roman" w:cs="Times New Roman"/>
          <w:sz w:val="24"/>
          <w:szCs w:val="24"/>
          <w:lang w:val="es-CL"/>
        </w:rPr>
        <w:t>, ‘Apertura comercial y crecimiento económico: Evidencia del caso uruguayo en los últimos 30 años’, Centro de Investigaciones E</w:t>
      </w:r>
      <w:r>
        <w:rPr>
          <w:rFonts w:ascii="Times New Roman" w:hAnsi="Times New Roman" w:cs="Times New Roman"/>
          <w:sz w:val="24"/>
          <w:szCs w:val="24"/>
          <w:lang w:val="es-CL"/>
        </w:rPr>
        <w:t>conómicas, Montevideo, 2007</w:t>
      </w:r>
      <w:r w:rsidRPr="007728BA">
        <w:rPr>
          <w:rFonts w:ascii="Times New Roman" w:hAnsi="Times New Roman" w:cs="Times New Roman"/>
          <w:sz w:val="24"/>
          <w:szCs w:val="24"/>
          <w:lang w:val="es-CL"/>
        </w:rPr>
        <w:t>.</w:t>
      </w:r>
    </w:p>
  </w:footnote>
  <w:footnote w:id="92">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Barbara E. </w:t>
      </w:r>
      <w:proofErr w:type="spellStart"/>
      <w:r w:rsidRPr="00926EF3">
        <w:rPr>
          <w:rFonts w:ascii="Times New Roman" w:hAnsi="Times New Roman" w:cs="Times New Roman"/>
          <w:sz w:val="24"/>
          <w:szCs w:val="24"/>
          <w:lang w:val="en-GB"/>
        </w:rPr>
        <w:t>Kritzer</w:t>
      </w:r>
      <w:proofErr w:type="spellEnd"/>
      <w:r w:rsidRPr="00926EF3">
        <w:rPr>
          <w:rFonts w:ascii="Times New Roman" w:hAnsi="Times New Roman" w:cs="Times New Roman"/>
          <w:sz w:val="24"/>
          <w:szCs w:val="24"/>
          <w:lang w:val="en-GB"/>
        </w:rPr>
        <w:t xml:space="preserve">, ‘Social Security Privatization in Latin America’, </w:t>
      </w:r>
      <w:r w:rsidRPr="00926EF3">
        <w:rPr>
          <w:rFonts w:ascii="Times New Roman" w:hAnsi="Times New Roman" w:cs="Times New Roman"/>
          <w:i/>
          <w:sz w:val="24"/>
          <w:szCs w:val="24"/>
          <w:lang w:val="en-GB"/>
        </w:rPr>
        <w:t xml:space="preserve">Social Security Bulletin </w:t>
      </w:r>
      <w:r w:rsidRPr="00926EF3">
        <w:rPr>
          <w:rFonts w:ascii="Times New Roman" w:hAnsi="Times New Roman" w:cs="Times New Roman"/>
          <w:sz w:val="24"/>
          <w:szCs w:val="24"/>
          <w:lang w:val="en-GB"/>
        </w:rPr>
        <w:t>63: 2 (2000), pp. 17-37.</w:t>
      </w:r>
    </w:p>
  </w:footnote>
  <w:footnote w:id="93">
    <w:p w:rsidR="00C46EB0" w:rsidRPr="007728BA" w:rsidRDefault="00C46EB0" w:rsidP="0075746F">
      <w:pPr>
        <w:pStyle w:val="FootnoteText"/>
        <w:spacing w:line="480" w:lineRule="auto"/>
        <w:rPr>
          <w:rFonts w:ascii="Times New Roman" w:hAnsi="Times New Roman" w:cs="Times New Roman"/>
          <w:sz w:val="24"/>
          <w:szCs w:val="24"/>
          <w:lang w:val="es-CL"/>
        </w:rPr>
      </w:pPr>
      <w:r w:rsidRPr="00926EF3">
        <w:rPr>
          <w:rStyle w:val="FootnoteReference"/>
          <w:rFonts w:ascii="Times New Roman" w:hAnsi="Times New Roman" w:cs="Times New Roman"/>
          <w:sz w:val="24"/>
          <w:szCs w:val="24"/>
          <w:lang w:val="en-GB"/>
        </w:rPr>
        <w:footnoteRef/>
      </w:r>
      <w:r w:rsidRPr="007728BA">
        <w:rPr>
          <w:rFonts w:ascii="Times New Roman" w:hAnsi="Times New Roman" w:cs="Times New Roman"/>
          <w:sz w:val="24"/>
          <w:szCs w:val="24"/>
          <w:lang w:val="es-CL"/>
        </w:rPr>
        <w:t xml:space="preserve"> Gustavo Méndez, Luís </w:t>
      </w:r>
      <w:proofErr w:type="spellStart"/>
      <w:r w:rsidRPr="007728BA">
        <w:rPr>
          <w:rFonts w:ascii="Times New Roman" w:hAnsi="Times New Roman" w:cs="Times New Roman"/>
          <w:sz w:val="24"/>
          <w:szCs w:val="24"/>
          <w:lang w:val="es-CL"/>
        </w:rPr>
        <w:t>S</w:t>
      </w:r>
      <w:r>
        <w:rPr>
          <w:rFonts w:ascii="Times New Roman" w:hAnsi="Times New Roman" w:cs="Times New Roman"/>
          <w:sz w:val="24"/>
          <w:szCs w:val="24"/>
          <w:lang w:val="es-CL"/>
        </w:rPr>
        <w:t>enatore</w:t>
      </w:r>
      <w:proofErr w:type="spellEnd"/>
      <w:r>
        <w:rPr>
          <w:rFonts w:ascii="Times New Roman" w:hAnsi="Times New Roman" w:cs="Times New Roman"/>
          <w:sz w:val="24"/>
          <w:szCs w:val="24"/>
          <w:lang w:val="es-CL"/>
        </w:rPr>
        <w:t xml:space="preserve"> and Federico Traversa, </w:t>
      </w:r>
      <w:r w:rsidRPr="005C08D0">
        <w:rPr>
          <w:rFonts w:ascii="Times New Roman" w:hAnsi="Times New Roman" w:cs="Times New Roman"/>
          <w:i/>
          <w:sz w:val="24"/>
          <w:szCs w:val="24"/>
          <w:lang w:val="es-CL"/>
        </w:rPr>
        <w:t>La política laboral de un proyecto socialdemócrata periférico: Un análisis de los cambios institucionales en Uruguay 2005-2009</w:t>
      </w:r>
      <w:r>
        <w:rPr>
          <w:rFonts w:ascii="Times New Roman" w:hAnsi="Times New Roman" w:cs="Times New Roman"/>
          <w:sz w:val="24"/>
          <w:szCs w:val="24"/>
          <w:lang w:val="es-CL"/>
        </w:rPr>
        <w:t xml:space="preserve"> (Montevideo: Friedrich Ebert </w:t>
      </w:r>
      <w:proofErr w:type="spellStart"/>
      <w:r>
        <w:rPr>
          <w:rFonts w:ascii="Times New Roman" w:hAnsi="Times New Roman" w:cs="Times New Roman"/>
          <w:sz w:val="24"/>
          <w:szCs w:val="24"/>
          <w:lang w:val="es-CL"/>
        </w:rPr>
        <w:t>Stiftung</w:t>
      </w:r>
      <w:proofErr w:type="spellEnd"/>
      <w:r>
        <w:rPr>
          <w:rFonts w:ascii="Times New Roman" w:hAnsi="Times New Roman" w:cs="Times New Roman"/>
          <w:sz w:val="24"/>
          <w:szCs w:val="24"/>
          <w:lang w:val="es-CL"/>
        </w:rPr>
        <w:t>, 2009)</w:t>
      </w:r>
      <w:r w:rsidRPr="007728BA">
        <w:rPr>
          <w:rFonts w:ascii="Times New Roman" w:hAnsi="Times New Roman" w:cs="Times New Roman"/>
          <w:sz w:val="24"/>
          <w:szCs w:val="24"/>
          <w:lang w:val="es-CL"/>
        </w:rPr>
        <w:t>, pp. 13-14.</w:t>
      </w:r>
    </w:p>
  </w:footnote>
  <w:footnote w:id="94">
    <w:p w:rsidR="00C46EB0" w:rsidRPr="00926EF3" w:rsidRDefault="00C46EB0" w:rsidP="00880633">
      <w:pPr>
        <w:pStyle w:val="FootnoteText"/>
        <w:spacing w:line="480" w:lineRule="auto"/>
        <w:rPr>
          <w:rFonts w:ascii="Times New Roman" w:hAnsi="Times New Roman" w:cs="Times New Roman"/>
          <w:sz w:val="24"/>
          <w:szCs w:val="24"/>
          <w:lang w:val="en-GB"/>
        </w:rPr>
      </w:pPr>
      <w:r w:rsidRPr="00880633">
        <w:rPr>
          <w:rStyle w:val="FootnoteReference"/>
          <w:rFonts w:ascii="Times New Roman" w:hAnsi="Times New Roman" w:cs="Times New Roman"/>
          <w:sz w:val="24"/>
          <w:szCs w:val="24"/>
          <w:lang w:val="en-GB"/>
        </w:rPr>
        <w:footnoteRef/>
      </w:r>
      <w:r w:rsidRPr="00880633">
        <w:rPr>
          <w:rFonts w:ascii="Times New Roman" w:hAnsi="Times New Roman" w:cs="Times New Roman"/>
          <w:sz w:val="24"/>
          <w:szCs w:val="24"/>
          <w:lang w:val="en-GB"/>
        </w:rPr>
        <w:t xml:space="preserve"> ECLAC, </w:t>
      </w:r>
      <w:r w:rsidRPr="00880633">
        <w:rPr>
          <w:rFonts w:ascii="Times New Roman" w:hAnsi="Times New Roman" w:cs="Times New Roman"/>
          <w:i/>
          <w:sz w:val="24"/>
          <w:szCs w:val="24"/>
          <w:lang w:val="en-GB"/>
        </w:rPr>
        <w:t>Time for Equality</w:t>
      </w:r>
      <w:r w:rsidRPr="00880633">
        <w:rPr>
          <w:rFonts w:ascii="Times New Roman" w:hAnsi="Times New Roman" w:cs="Times New Roman"/>
          <w:sz w:val="24"/>
          <w:szCs w:val="24"/>
          <w:lang w:val="en-GB"/>
        </w:rPr>
        <w:t>, 2010, p. 53.</w:t>
      </w:r>
    </w:p>
  </w:footnote>
  <w:footnote w:id="95">
    <w:p w:rsidR="00C46EB0" w:rsidRPr="00926EF3" w:rsidRDefault="00C46EB0" w:rsidP="004A13E9">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Roberts, ‘The</w:t>
      </w:r>
      <w:r>
        <w:rPr>
          <w:rFonts w:ascii="Times New Roman" w:hAnsi="Times New Roman" w:cs="Times New Roman"/>
          <w:sz w:val="24"/>
          <w:szCs w:val="24"/>
          <w:lang w:val="en-GB"/>
        </w:rPr>
        <w:t xml:space="preserve"> Politics of Inequality’</w:t>
      </w:r>
      <w:r w:rsidRPr="00926EF3">
        <w:rPr>
          <w:rFonts w:ascii="Times New Roman" w:hAnsi="Times New Roman" w:cs="Times New Roman"/>
          <w:sz w:val="24"/>
          <w:szCs w:val="24"/>
          <w:lang w:val="en-GB"/>
        </w:rPr>
        <w:t>, p. 6.</w:t>
      </w:r>
    </w:p>
  </w:footnote>
  <w:footnote w:id="96">
    <w:p w:rsidR="00C46EB0" w:rsidRPr="001F3022" w:rsidRDefault="00C46EB0" w:rsidP="004A13E9">
      <w:pPr>
        <w:pStyle w:val="FootnoteText"/>
        <w:spacing w:line="480" w:lineRule="auto"/>
        <w:rPr>
          <w:rFonts w:ascii="Times New Roman" w:hAnsi="Times New Roman" w:cs="Times New Roman"/>
          <w:sz w:val="24"/>
          <w:szCs w:val="24"/>
          <w:lang w:val="pt-BR"/>
        </w:rPr>
      </w:pPr>
      <w:r w:rsidRPr="00926EF3">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Eder Sader, </w:t>
      </w:r>
      <w:r w:rsidRPr="001F3022">
        <w:rPr>
          <w:rFonts w:ascii="Times New Roman" w:hAnsi="Times New Roman" w:cs="Times New Roman"/>
          <w:i/>
          <w:sz w:val="24"/>
          <w:szCs w:val="24"/>
          <w:lang w:val="pt-BR"/>
        </w:rPr>
        <w:t>Quando novos personagens entraram em cena: Experiências e lutas dos trabalhadores da grande São Paulo 1970-1980</w:t>
      </w:r>
      <w:r w:rsidRPr="001F3022">
        <w:rPr>
          <w:rFonts w:ascii="Times New Roman" w:hAnsi="Times New Roman" w:cs="Times New Roman"/>
          <w:sz w:val="24"/>
          <w:szCs w:val="24"/>
          <w:lang w:val="pt-BR"/>
        </w:rPr>
        <w:t xml:space="preserve"> (São Paulo: Paz e Terra, 1988).</w:t>
      </w:r>
    </w:p>
  </w:footnote>
  <w:footnote w:id="97">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Sarah Brooks, </w:t>
      </w:r>
      <w:r w:rsidRPr="00926EF3">
        <w:rPr>
          <w:rFonts w:ascii="Times New Roman" w:hAnsi="Times New Roman" w:cs="Times New Roman"/>
          <w:i/>
          <w:sz w:val="24"/>
          <w:szCs w:val="24"/>
          <w:lang w:val="en-GB"/>
        </w:rPr>
        <w:t>Social Protection and the Market in Latin America: The Transformation of Social Security Institutions</w:t>
      </w:r>
      <w:r w:rsidRPr="00926EF3">
        <w:rPr>
          <w:rFonts w:ascii="Times New Roman" w:hAnsi="Times New Roman" w:cs="Times New Roman"/>
          <w:sz w:val="24"/>
          <w:szCs w:val="24"/>
          <w:lang w:val="en-GB"/>
        </w:rPr>
        <w:t xml:space="preserve"> (Cambridge: Cambridge University Press, 2008).</w:t>
      </w:r>
    </w:p>
  </w:footnote>
  <w:footnote w:id="98">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Research by the </w:t>
      </w:r>
      <w:proofErr w:type="spellStart"/>
      <w:r w:rsidRPr="00926EF3">
        <w:rPr>
          <w:rFonts w:ascii="Times New Roman" w:hAnsi="Times New Roman" w:cs="Times New Roman"/>
          <w:i/>
          <w:sz w:val="24"/>
          <w:szCs w:val="24"/>
          <w:lang w:val="en-GB"/>
        </w:rPr>
        <w:t>Folha</w:t>
      </w:r>
      <w:proofErr w:type="spellEnd"/>
      <w:r w:rsidRPr="00926EF3">
        <w:rPr>
          <w:rFonts w:ascii="Times New Roman" w:hAnsi="Times New Roman" w:cs="Times New Roman"/>
          <w:i/>
          <w:sz w:val="24"/>
          <w:szCs w:val="24"/>
          <w:lang w:val="en-GB"/>
        </w:rPr>
        <w:t xml:space="preserve"> de São Paulo</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showed that 41.4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cent of PMDB delegates were ideologically left of centre, compared to only 16.9 per</w:t>
      </w:r>
      <w:r>
        <w:rPr>
          <w:rFonts w:ascii="Times New Roman" w:hAnsi="Times New Roman" w:cs="Times New Roman"/>
          <w:sz w:val="24"/>
          <w:szCs w:val="24"/>
          <w:lang w:val="en-GB"/>
        </w:rPr>
        <w:t xml:space="preserve"> </w:t>
      </w:r>
      <w:r w:rsidRPr="00926EF3">
        <w:rPr>
          <w:rFonts w:ascii="Times New Roman" w:hAnsi="Times New Roman" w:cs="Times New Roman"/>
          <w:sz w:val="24"/>
          <w:szCs w:val="24"/>
          <w:lang w:val="en-GB"/>
        </w:rPr>
        <w:t xml:space="preserve">cent who were right of centre. Javier </w:t>
      </w:r>
      <w:proofErr w:type="spellStart"/>
      <w:r w:rsidRPr="00926EF3">
        <w:rPr>
          <w:rFonts w:ascii="Times New Roman" w:hAnsi="Times New Roman" w:cs="Times New Roman"/>
          <w:sz w:val="24"/>
          <w:szCs w:val="24"/>
          <w:lang w:val="en-GB"/>
        </w:rPr>
        <w:t>Martínez</w:t>
      </w:r>
      <w:proofErr w:type="spellEnd"/>
      <w:r w:rsidRPr="00926EF3">
        <w:rPr>
          <w:rFonts w:ascii="Times New Roman" w:hAnsi="Times New Roman" w:cs="Times New Roman"/>
          <w:sz w:val="24"/>
          <w:szCs w:val="24"/>
          <w:lang w:val="en-GB"/>
        </w:rPr>
        <w:t xml:space="preserve">-Lara, </w:t>
      </w:r>
      <w:r w:rsidRPr="00926EF3">
        <w:rPr>
          <w:rFonts w:ascii="Times New Roman" w:hAnsi="Times New Roman" w:cs="Times New Roman"/>
          <w:i/>
          <w:sz w:val="24"/>
          <w:szCs w:val="24"/>
          <w:lang w:val="en-GB"/>
        </w:rPr>
        <w:t>Building Democracy in Brazil: The Politics of Constitutional Change 1985-1995</w:t>
      </w:r>
      <w:r w:rsidRPr="00926EF3">
        <w:rPr>
          <w:rFonts w:ascii="Times New Roman" w:hAnsi="Times New Roman" w:cs="Times New Roman"/>
          <w:sz w:val="24"/>
          <w:szCs w:val="24"/>
          <w:lang w:val="en-GB"/>
        </w:rPr>
        <w:t>. (London: Palgrave Macmillan, 1996)</w:t>
      </w:r>
      <w:r>
        <w:rPr>
          <w:rFonts w:ascii="Times New Roman" w:hAnsi="Times New Roman" w:cs="Times New Roman"/>
          <w:sz w:val="24"/>
          <w:szCs w:val="24"/>
          <w:lang w:val="en-GB"/>
        </w:rPr>
        <w:t>, p. 68</w:t>
      </w:r>
      <w:r w:rsidRPr="00926EF3">
        <w:rPr>
          <w:rFonts w:ascii="Times New Roman" w:hAnsi="Times New Roman" w:cs="Times New Roman"/>
          <w:sz w:val="24"/>
          <w:szCs w:val="24"/>
          <w:lang w:val="en-GB"/>
        </w:rPr>
        <w:t xml:space="preserve">. </w:t>
      </w:r>
    </w:p>
  </w:footnote>
  <w:footnote w:id="99">
    <w:p w:rsidR="00C46EB0" w:rsidRPr="00926EF3" w:rsidRDefault="00C46EB0" w:rsidP="0075746F">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Kurt </w:t>
      </w:r>
      <w:proofErr w:type="spellStart"/>
      <w:r w:rsidRPr="00926EF3">
        <w:rPr>
          <w:rFonts w:ascii="Times New Roman" w:hAnsi="Times New Roman" w:cs="Times New Roman"/>
          <w:sz w:val="24"/>
          <w:szCs w:val="24"/>
          <w:lang w:val="en-GB"/>
        </w:rPr>
        <w:t>Weyland</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Democracy without Equity: Failures of Reform in Brazil</w:t>
      </w:r>
      <w:r w:rsidRPr="00926EF3">
        <w:rPr>
          <w:rFonts w:ascii="Times New Roman" w:hAnsi="Times New Roman" w:cs="Times New Roman"/>
          <w:sz w:val="24"/>
          <w:szCs w:val="24"/>
          <w:lang w:val="en-GB"/>
        </w:rPr>
        <w:t xml:space="preserve"> (Pittsburgh: University of Pittsburgh Press, 1996).</w:t>
      </w:r>
    </w:p>
  </w:footnote>
  <w:footnote w:id="100">
    <w:p w:rsidR="00C46EB0" w:rsidRPr="00926EF3" w:rsidRDefault="00C46EB0" w:rsidP="00B8091A">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t>
      </w:r>
      <w:proofErr w:type="spellStart"/>
      <w:r w:rsidRPr="00926EF3">
        <w:rPr>
          <w:rFonts w:ascii="Times New Roman" w:hAnsi="Times New Roman" w:cs="Times New Roman"/>
          <w:sz w:val="24"/>
          <w:szCs w:val="24"/>
          <w:lang w:val="en-GB"/>
        </w:rPr>
        <w:t>Weyland</w:t>
      </w:r>
      <w:proofErr w:type="spellEnd"/>
      <w:r w:rsidRPr="00926EF3">
        <w:rPr>
          <w:rFonts w:ascii="Times New Roman" w:hAnsi="Times New Roman" w:cs="Times New Roman"/>
          <w:sz w:val="24"/>
          <w:szCs w:val="24"/>
          <w:lang w:val="en-GB"/>
        </w:rPr>
        <w:t xml:space="preserve">, </w:t>
      </w:r>
      <w:r w:rsidRPr="00926EF3">
        <w:rPr>
          <w:rFonts w:ascii="Times New Roman" w:hAnsi="Times New Roman" w:cs="Times New Roman"/>
          <w:i/>
          <w:sz w:val="24"/>
          <w:szCs w:val="24"/>
          <w:lang w:val="en-GB"/>
        </w:rPr>
        <w:t>Democracy without Equity</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w:t>
      </w:r>
      <w:proofErr w:type="spellEnd"/>
      <w:r>
        <w:rPr>
          <w:rFonts w:ascii="Times New Roman" w:hAnsi="Times New Roman" w:cs="Times New Roman"/>
          <w:sz w:val="24"/>
          <w:szCs w:val="24"/>
          <w:lang w:val="en-GB"/>
        </w:rPr>
        <w:t xml:space="preserve"> 6</w:t>
      </w:r>
      <w:r w:rsidRPr="00926EF3">
        <w:rPr>
          <w:rFonts w:ascii="Times New Roman" w:hAnsi="Times New Roman" w:cs="Times New Roman"/>
          <w:sz w:val="24"/>
          <w:szCs w:val="24"/>
          <w:lang w:val="en-GB"/>
        </w:rPr>
        <w:t xml:space="preserve">; Brooks, </w:t>
      </w:r>
      <w:r w:rsidRPr="00926EF3">
        <w:rPr>
          <w:rFonts w:ascii="Times New Roman" w:hAnsi="Times New Roman" w:cs="Times New Roman"/>
          <w:i/>
          <w:sz w:val="24"/>
          <w:szCs w:val="24"/>
          <w:lang w:val="en-GB"/>
        </w:rPr>
        <w:t>Social Protection and the Market</w:t>
      </w:r>
      <w:r w:rsidRPr="00926EF3">
        <w:rPr>
          <w:rFonts w:ascii="Times New Roman" w:hAnsi="Times New Roman" w:cs="Times New Roman"/>
          <w:sz w:val="24"/>
          <w:szCs w:val="24"/>
          <w:lang w:val="en-GB"/>
        </w:rPr>
        <w:t xml:space="preserve">.  </w:t>
      </w:r>
    </w:p>
  </w:footnote>
  <w:footnote w:id="101">
    <w:p w:rsidR="00C46EB0" w:rsidRPr="004E30BF" w:rsidRDefault="00C46EB0" w:rsidP="00B70482">
      <w:pPr>
        <w:pStyle w:val="FootnoteText"/>
        <w:spacing w:line="480" w:lineRule="auto"/>
        <w:rPr>
          <w:rFonts w:ascii="Times New Roman" w:hAnsi="Times New Roman" w:cs="Times New Roman"/>
          <w:sz w:val="24"/>
          <w:szCs w:val="24"/>
          <w:lang w:val="en-GB"/>
        </w:rPr>
      </w:pPr>
      <w:r w:rsidRPr="00926EF3">
        <w:rPr>
          <w:rStyle w:val="FootnoteReference"/>
          <w:rFonts w:ascii="Times New Roman" w:hAnsi="Times New Roman" w:cs="Times New Roman"/>
          <w:sz w:val="24"/>
          <w:szCs w:val="24"/>
          <w:lang w:val="en-GB"/>
        </w:rPr>
        <w:footnoteRef/>
      </w:r>
      <w:r w:rsidRPr="00926EF3">
        <w:rPr>
          <w:rFonts w:ascii="Times New Roman" w:hAnsi="Times New Roman" w:cs="Times New Roman"/>
          <w:sz w:val="24"/>
          <w:szCs w:val="24"/>
          <w:lang w:val="en-GB"/>
        </w:rPr>
        <w:t xml:space="preserve"> </w:t>
      </w:r>
      <w:r w:rsidRPr="004E30BF">
        <w:rPr>
          <w:rFonts w:ascii="Times New Roman" w:hAnsi="Times New Roman" w:cs="Times New Roman"/>
          <w:sz w:val="24"/>
          <w:szCs w:val="24"/>
          <w:lang w:val="en-GB"/>
        </w:rPr>
        <w:t xml:space="preserve">David Samuels, ‘From Socialism to Social Democracy: Party Organization and the Transformation of the Workers’ Party in Brazil’, </w:t>
      </w:r>
      <w:r w:rsidRPr="004E30BF">
        <w:rPr>
          <w:rFonts w:ascii="Times New Roman" w:hAnsi="Times New Roman" w:cs="Times New Roman"/>
          <w:i/>
          <w:sz w:val="24"/>
          <w:szCs w:val="24"/>
          <w:lang w:val="en-GB"/>
        </w:rPr>
        <w:t>Comparative Political Studies</w:t>
      </w:r>
      <w:r>
        <w:rPr>
          <w:rFonts w:ascii="Times New Roman" w:hAnsi="Times New Roman" w:cs="Times New Roman"/>
          <w:sz w:val="24"/>
          <w:szCs w:val="24"/>
          <w:lang w:val="en-GB"/>
        </w:rPr>
        <w:t xml:space="preserve"> 37: 9 (2004),</w:t>
      </w:r>
      <w:r w:rsidRPr="004E30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pp. </w:t>
      </w:r>
      <w:r w:rsidRPr="004E30BF">
        <w:rPr>
          <w:rFonts w:ascii="Times New Roman" w:hAnsi="Times New Roman" w:cs="Times New Roman"/>
          <w:sz w:val="24"/>
          <w:szCs w:val="24"/>
          <w:lang w:val="en-GB"/>
        </w:rPr>
        <w:t>999-1024.</w:t>
      </w:r>
    </w:p>
  </w:footnote>
  <w:footnote w:id="102">
    <w:p w:rsidR="00C46EB0" w:rsidRPr="001F3022" w:rsidRDefault="00C46EB0" w:rsidP="00B70482">
      <w:pPr>
        <w:pStyle w:val="FootnoteText"/>
        <w:spacing w:line="480" w:lineRule="auto"/>
        <w:rPr>
          <w:rFonts w:ascii="Times New Roman" w:hAnsi="Times New Roman" w:cs="Times New Roman"/>
          <w:sz w:val="24"/>
          <w:szCs w:val="24"/>
          <w:lang w:val="pt-BR"/>
        </w:rPr>
      </w:pPr>
      <w:r w:rsidRPr="004E30BF">
        <w:rPr>
          <w:rStyle w:val="FootnoteReference"/>
          <w:rFonts w:ascii="Times New Roman" w:hAnsi="Times New Roman" w:cs="Times New Roman"/>
          <w:sz w:val="24"/>
          <w:szCs w:val="24"/>
          <w:lang w:val="en-GB"/>
        </w:rPr>
        <w:footnoteRef/>
      </w:r>
      <w:r w:rsidRPr="001F3022">
        <w:rPr>
          <w:rFonts w:ascii="Times New Roman" w:hAnsi="Times New Roman" w:cs="Times New Roman"/>
          <w:sz w:val="24"/>
          <w:szCs w:val="24"/>
          <w:lang w:val="pt-BR"/>
        </w:rPr>
        <w:t xml:space="preserve"> Fundação Perçeu Abramo, ‘Densidade sindical e recomposição da classe trabalhadora no Brasil’, 2013, p. 8. </w:t>
      </w:r>
    </w:p>
  </w:footnote>
  <w:footnote w:id="103">
    <w:p w:rsidR="00C46EB0" w:rsidRPr="001F3022" w:rsidRDefault="00C46EB0" w:rsidP="0049425D">
      <w:pPr>
        <w:pStyle w:val="FootnoteText"/>
        <w:spacing w:line="480" w:lineRule="auto"/>
        <w:rPr>
          <w:lang w:val="pt-BR"/>
        </w:rPr>
      </w:pPr>
      <w:r>
        <w:rPr>
          <w:rStyle w:val="FootnoteReference"/>
        </w:rPr>
        <w:footnoteRef/>
      </w:r>
      <w:r w:rsidRPr="001F3022">
        <w:rPr>
          <w:lang w:val="pt-BR"/>
        </w:rPr>
        <w:t xml:space="preserve"> </w:t>
      </w:r>
      <w:r w:rsidRPr="001F3022">
        <w:rPr>
          <w:rFonts w:ascii="Times New Roman" w:hAnsi="Times New Roman" w:cs="Times New Roman"/>
          <w:sz w:val="24"/>
          <w:szCs w:val="24"/>
          <w:lang w:val="pt-BR"/>
        </w:rPr>
        <w:t xml:space="preserve">Fabio Giambiagi, ‘Dezessete anos de política fiscal no Brasil: 1991-2007’, Texto de </w:t>
      </w:r>
      <w:r>
        <w:rPr>
          <w:rFonts w:ascii="Times New Roman" w:hAnsi="Times New Roman" w:cs="Times New Roman"/>
          <w:sz w:val="24"/>
          <w:szCs w:val="24"/>
          <w:lang w:val="pt-BR"/>
        </w:rPr>
        <w:t>Discussão 1309, IPEA, p. 27</w:t>
      </w:r>
      <w:r w:rsidRPr="001F3022">
        <w:rPr>
          <w:rFonts w:ascii="Times New Roman" w:hAnsi="Times New Roman" w:cs="Times New Roman"/>
          <w:sz w:val="24"/>
          <w:szCs w:val="24"/>
          <w:lang w:val="pt-BR"/>
        </w:rPr>
        <w:t>.</w:t>
      </w:r>
    </w:p>
  </w:footnote>
  <w:footnote w:id="104">
    <w:p w:rsidR="00C46EB0" w:rsidRPr="003057B7" w:rsidRDefault="00C46EB0" w:rsidP="0049425D">
      <w:pPr>
        <w:pStyle w:val="FootnoteText"/>
        <w:spacing w:line="480" w:lineRule="auto"/>
        <w:rPr>
          <w:rFonts w:ascii="Times New Roman" w:hAnsi="Times New Roman" w:cs="Times New Roman"/>
          <w:sz w:val="24"/>
          <w:szCs w:val="24"/>
          <w:lang w:val="pt-BR"/>
        </w:rPr>
      </w:pPr>
      <w:r w:rsidRPr="0049425D">
        <w:rPr>
          <w:rStyle w:val="FootnoteReference"/>
          <w:rFonts w:ascii="Times New Roman" w:hAnsi="Times New Roman" w:cs="Times New Roman"/>
          <w:sz w:val="24"/>
          <w:szCs w:val="24"/>
        </w:rPr>
        <w:footnoteRef/>
      </w:r>
      <w:r w:rsidRPr="003057B7">
        <w:rPr>
          <w:rFonts w:ascii="Times New Roman" w:hAnsi="Times New Roman" w:cs="Times New Roman"/>
          <w:sz w:val="24"/>
          <w:szCs w:val="24"/>
          <w:lang w:val="pt-BR"/>
        </w:rPr>
        <w:t xml:space="preserve"> ECLAC, </w:t>
      </w:r>
      <w:r w:rsidRPr="003057B7">
        <w:rPr>
          <w:rFonts w:ascii="Times New Roman" w:hAnsi="Times New Roman" w:cs="Times New Roman"/>
          <w:i/>
          <w:sz w:val="24"/>
          <w:szCs w:val="24"/>
          <w:lang w:val="pt-BR"/>
        </w:rPr>
        <w:t>Panorama Social de América Latina 2010</w:t>
      </w:r>
      <w:r w:rsidRPr="003057B7">
        <w:rPr>
          <w:rFonts w:ascii="Times New Roman" w:hAnsi="Times New Roman" w:cs="Times New Roman"/>
          <w:sz w:val="24"/>
          <w:szCs w:val="24"/>
          <w:lang w:val="pt-BR"/>
        </w:rPr>
        <w:t>, p. 167.</w:t>
      </w:r>
    </w:p>
  </w:footnote>
  <w:footnote w:id="105">
    <w:p w:rsidR="00C46EB0" w:rsidRPr="003057B7" w:rsidRDefault="00C46EB0" w:rsidP="0049425D">
      <w:pPr>
        <w:pStyle w:val="FootnoteText"/>
        <w:spacing w:line="480" w:lineRule="auto"/>
        <w:rPr>
          <w:lang w:val="pt-BR"/>
        </w:rPr>
      </w:pPr>
      <w:r w:rsidRPr="0049425D">
        <w:rPr>
          <w:rStyle w:val="FootnoteReference"/>
          <w:rFonts w:ascii="Times New Roman" w:hAnsi="Times New Roman" w:cs="Times New Roman"/>
          <w:sz w:val="24"/>
          <w:szCs w:val="24"/>
        </w:rPr>
        <w:footnoteRef/>
      </w:r>
      <w:r w:rsidRPr="003057B7">
        <w:rPr>
          <w:rFonts w:ascii="Times New Roman" w:hAnsi="Times New Roman" w:cs="Times New Roman"/>
          <w:sz w:val="24"/>
          <w:szCs w:val="24"/>
          <w:lang w:val="pt-BR"/>
        </w:rPr>
        <w:t xml:space="preserve"> Giambiagi, ‘Dezessete anos’, p. 35.</w:t>
      </w:r>
    </w:p>
  </w:footnote>
  <w:footnote w:id="106">
    <w:p w:rsidR="00C46EB0" w:rsidRPr="0075746F" w:rsidRDefault="00C46EB0" w:rsidP="0075746F">
      <w:pPr>
        <w:pStyle w:val="FootnoteText"/>
        <w:spacing w:line="480" w:lineRule="auto"/>
        <w:rPr>
          <w:rFonts w:ascii="Times New Roman" w:hAnsi="Times New Roman" w:cs="Times New Roman"/>
          <w:sz w:val="24"/>
          <w:szCs w:val="24"/>
        </w:rPr>
      </w:pPr>
      <w:r w:rsidRPr="0075746F">
        <w:rPr>
          <w:rStyle w:val="FootnoteReference"/>
          <w:rFonts w:ascii="Times New Roman" w:hAnsi="Times New Roman" w:cs="Times New Roman"/>
          <w:sz w:val="24"/>
          <w:szCs w:val="24"/>
        </w:rPr>
        <w:footnoteRef/>
      </w:r>
      <w:r w:rsidRPr="0075746F">
        <w:rPr>
          <w:rFonts w:ascii="Times New Roman" w:hAnsi="Times New Roman" w:cs="Times New Roman"/>
          <w:sz w:val="24"/>
          <w:szCs w:val="24"/>
        </w:rPr>
        <w:t xml:space="preserve"> Mainwarin</w:t>
      </w:r>
      <w:r>
        <w:rPr>
          <w:rFonts w:ascii="Times New Roman" w:hAnsi="Times New Roman" w:cs="Times New Roman"/>
          <w:sz w:val="24"/>
          <w:szCs w:val="24"/>
        </w:rPr>
        <w:t>g</w:t>
      </w:r>
      <w:r w:rsidRPr="0075746F">
        <w:rPr>
          <w:rFonts w:ascii="Times New Roman" w:hAnsi="Times New Roman" w:cs="Times New Roman"/>
          <w:sz w:val="24"/>
          <w:szCs w:val="24"/>
        </w:rPr>
        <w:t xml:space="preserve"> and Pérez-</w:t>
      </w:r>
      <w:proofErr w:type="spellStart"/>
      <w:r w:rsidRPr="0075746F">
        <w:rPr>
          <w:rFonts w:ascii="Times New Roman" w:hAnsi="Times New Roman" w:cs="Times New Roman"/>
          <w:sz w:val="24"/>
          <w:szCs w:val="24"/>
        </w:rPr>
        <w:t>Liñan</w:t>
      </w:r>
      <w:proofErr w:type="spellEnd"/>
      <w:r>
        <w:rPr>
          <w:rFonts w:ascii="Times New Roman" w:hAnsi="Times New Roman" w:cs="Times New Roman"/>
          <w:sz w:val="24"/>
          <w:szCs w:val="24"/>
        </w:rPr>
        <w:t xml:space="preserve">, </w:t>
      </w:r>
      <w:r w:rsidRPr="00DE581F">
        <w:rPr>
          <w:rFonts w:ascii="Times New Roman" w:hAnsi="Times New Roman" w:cs="Times New Roman"/>
          <w:i/>
          <w:sz w:val="24"/>
          <w:szCs w:val="24"/>
        </w:rPr>
        <w:t>Democracies and Dictatorships</w:t>
      </w:r>
      <w:r>
        <w:rPr>
          <w:rFonts w:ascii="Times New Roman" w:hAnsi="Times New Roman" w:cs="Times New Roman"/>
          <w:sz w:val="24"/>
          <w:szCs w:val="24"/>
        </w:rPr>
        <w:t>,</w:t>
      </w:r>
      <w:r w:rsidRPr="0075746F">
        <w:rPr>
          <w:rFonts w:ascii="Times New Roman" w:hAnsi="Times New Roman" w:cs="Times New Roman"/>
          <w:sz w:val="24"/>
          <w:szCs w:val="24"/>
        </w:rPr>
        <w:t xml:space="preserve"> p. 16.</w:t>
      </w:r>
    </w:p>
  </w:footnote>
  <w:footnote w:id="107">
    <w:p w:rsidR="00C46EB0" w:rsidRPr="0074546E" w:rsidRDefault="00C46EB0" w:rsidP="0074546E">
      <w:pPr>
        <w:pStyle w:val="FootnoteText"/>
        <w:spacing w:line="480" w:lineRule="auto"/>
        <w:rPr>
          <w:rFonts w:ascii="Times New Roman" w:hAnsi="Times New Roman" w:cs="Times New Roman"/>
          <w:sz w:val="24"/>
          <w:szCs w:val="24"/>
        </w:rPr>
      </w:pPr>
      <w:r w:rsidRPr="0074546E">
        <w:rPr>
          <w:rStyle w:val="FootnoteReference"/>
          <w:rFonts w:ascii="Times New Roman" w:hAnsi="Times New Roman" w:cs="Times New Roman"/>
          <w:sz w:val="24"/>
          <w:szCs w:val="24"/>
        </w:rPr>
        <w:footnoteRef/>
      </w:r>
      <w:r w:rsidRPr="0074546E">
        <w:rPr>
          <w:rFonts w:ascii="Times New Roman" w:hAnsi="Times New Roman" w:cs="Times New Roman"/>
          <w:sz w:val="24"/>
          <w:szCs w:val="24"/>
        </w:rPr>
        <w:t xml:space="preserve"> Adam </w:t>
      </w:r>
      <w:proofErr w:type="spellStart"/>
      <w:r w:rsidRPr="0074546E">
        <w:rPr>
          <w:rFonts w:ascii="Times New Roman" w:hAnsi="Times New Roman" w:cs="Times New Roman"/>
          <w:sz w:val="24"/>
          <w:szCs w:val="24"/>
        </w:rPr>
        <w:t>Przeworski</w:t>
      </w:r>
      <w:proofErr w:type="spellEnd"/>
      <w:r w:rsidRPr="0074546E">
        <w:rPr>
          <w:rFonts w:ascii="Times New Roman" w:hAnsi="Times New Roman" w:cs="Times New Roman"/>
          <w:sz w:val="24"/>
          <w:szCs w:val="24"/>
        </w:rPr>
        <w:t xml:space="preserve">, </w:t>
      </w:r>
      <w:r w:rsidRPr="0074546E">
        <w:rPr>
          <w:rFonts w:ascii="Times New Roman" w:hAnsi="Times New Roman" w:cs="Times New Roman"/>
          <w:i/>
          <w:sz w:val="24"/>
          <w:szCs w:val="24"/>
        </w:rPr>
        <w:t>Democracy and the Market</w:t>
      </w:r>
      <w:r>
        <w:rPr>
          <w:rFonts w:ascii="Times New Roman" w:hAnsi="Times New Roman" w:cs="Times New Roman"/>
          <w:i/>
          <w:sz w:val="24"/>
          <w:szCs w:val="24"/>
        </w:rPr>
        <w:t xml:space="preserve">: </w:t>
      </w:r>
      <w:r w:rsidRPr="006B2BBE">
        <w:rPr>
          <w:rFonts w:ascii="Times New Roman" w:hAnsi="Times New Roman" w:cs="Times New Roman"/>
          <w:i/>
          <w:sz w:val="24"/>
          <w:szCs w:val="24"/>
        </w:rPr>
        <w:t>Political and Economic Reforms in E</w:t>
      </w:r>
      <w:r>
        <w:rPr>
          <w:rFonts w:ascii="Times New Roman" w:hAnsi="Times New Roman" w:cs="Times New Roman"/>
          <w:i/>
          <w:sz w:val="24"/>
          <w:szCs w:val="24"/>
        </w:rPr>
        <w:t>astern Europe and Latin America</w:t>
      </w:r>
      <w:r w:rsidRPr="0074546E">
        <w:rPr>
          <w:rFonts w:ascii="Times New Roman" w:hAnsi="Times New Roman" w:cs="Times New Roman"/>
          <w:sz w:val="24"/>
          <w:szCs w:val="24"/>
        </w:rPr>
        <w:t xml:space="preserve"> (Cambridge: Cambridge University Press, 1991).</w:t>
      </w:r>
    </w:p>
  </w:footnote>
  <w:footnote w:id="108">
    <w:p w:rsidR="00C46EB0" w:rsidRPr="005E3EC2" w:rsidRDefault="00C46EB0" w:rsidP="005E3EC2">
      <w:pPr>
        <w:pStyle w:val="FootnoteText"/>
        <w:spacing w:line="480" w:lineRule="auto"/>
        <w:rPr>
          <w:rFonts w:ascii="Times New Roman" w:hAnsi="Times New Roman" w:cs="Times New Roman"/>
          <w:sz w:val="24"/>
          <w:szCs w:val="24"/>
        </w:rPr>
      </w:pPr>
      <w:r w:rsidRPr="005E3EC2">
        <w:rPr>
          <w:rStyle w:val="FootnoteReference"/>
          <w:rFonts w:ascii="Times New Roman" w:hAnsi="Times New Roman" w:cs="Times New Roman"/>
          <w:sz w:val="24"/>
          <w:szCs w:val="24"/>
        </w:rPr>
        <w:footnoteRef/>
      </w:r>
      <w:r w:rsidRPr="005E3EC2">
        <w:rPr>
          <w:rFonts w:ascii="Times New Roman" w:hAnsi="Times New Roman" w:cs="Times New Roman"/>
          <w:sz w:val="24"/>
          <w:szCs w:val="24"/>
        </w:rPr>
        <w:t xml:space="preserve"> See, for example, </w:t>
      </w:r>
      <w:proofErr w:type="spellStart"/>
      <w:r w:rsidRPr="005E3EC2">
        <w:rPr>
          <w:rFonts w:ascii="Times New Roman" w:hAnsi="Times New Roman" w:cs="Times New Roman"/>
          <w:sz w:val="24"/>
          <w:szCs w:val="24"/>
        </w:rPr>
        <w:t>Korpi</w:t>
      </w:r>
      <w:proofErr w:type="spellEnd"/>
      <w:r w:rsidRPr="005E3EC2">
        <w:rPr>
          <w:rFonts w:ascii="Times New Roman" w:hAnsi="Times New Roman" w:cs="Times New Roman"/>
          <w:sz w:val="24"/>
          <w:szCs w:val="24"/>
        </w:rPr>
        <w:t xml:space="preserve">, </w:t>
      </w:r>
      <w:r w:rsidRPr="005E3EC2">
        <w:rPr>
          <w:rFonts w:ascii="Times New Roman" w:hAnsi="Times New Roman" w:cs="Times New Roman"/>
          <w:i/>
          <w:sz w:val="24"/>
          <w:szCs w:val="24"/>
        </w:rPr>
        <w:t>The Democratic Class Struggle</w:t>
      </w:r>
      <w:r w:rsidRPr="005E3EC2">
        <w:rPr>
          <w:rFonts w:ascii="Times New Roman" w:hAnsi="Times New Roman" w:cs="Times New Roman"/>
          <w:sz w:val="24"/>
          <w:szCs w:val="24"/>
        </w:rPr>
        <w:t xml:space="preserve">; </w:t>
      </w:r>
      <w:proofErr w:type="spellStart"/>
      <w:r w:rsidRPr="005E3EC2">
        <w:rPr>
          <w:rFonts w:ascii="Times New Roman" w:hAnsi="Times New Roman" w:cs="Times New Roman"/>
          <w:sz w:val="24"/>
          <w:szCs w:val="24"/>
        </w:rPr>
        <w:t>Steinmo</w:t>
      </w:r>
      <w:proofErr w:type="spellEnd"/>
      <w:r w:rsidRPr="005E3EC2">
        <w:rPr>
          <w:rFonts w:ascii="Times New Roman" w:hAnsi="Times New Roman" w:cs="Times New Roman"/>
          <w:sz w:val="24"/>
          <w:szCs w:val="24"/>
        </w:rPr>
        <w:t xml:space="preserve"> and Tolbert, ‘Do Institutions</w:t>
      </w:r>
      <w:r>
        <w:rPr>
          <w:rFonts w:ascii="Times New Roman" w:hAnsi="Times New Roman" w:cs="Times New Roman"/>
          <w:sz w:val="24"/>
          <w:szCs w:val="24"/>
        </w:rPr>
        <w:t xml:space="preserve"> Really</w:t>
      </w:r>
      <w:r w:rsidRPr="005E3EC2">
        <w:rPr>
          <w:rFonts w:ascii="Times New Roman" w:hAnsi="Times New Roman" w:cs="Times New Roman"/>
          <w:sz w:val="24"/>
          <w:szCs w:val="24"/>
        </w:rPr>
        <w:t xml:space="preserve"> Matter?</w:t>
      </w:r>
      <w:proofErr w:type="gramStart"/>
      <w:r w:rsidRPr="005E3EC2">
        <w:rPr>
          <w:rFonts w:ascii="Times New Roman" w:hAnsi="Times New Roman" w:cs="Times New Roman"/>
          <w:sz w:val="24"/>
          <w:szCs w:val="24"/>
        </w:rPr>
        <w:t>’;</w:t>
      </w:r>
      <w:proofErr w:type="gramEnd"/>
      <w:r w:rsidRPr="005E3EC2">
        <w:rPr>
          <w:rFonts w:ascii="Times New Roman" w:hAnsi="Times New Roman" w:cs="Times New Roman"/>
          <w:sz w:val="24"/>
          <w:szCs w:val="24"/>
        </w:rPr>
        <w:t xml:space="preserve"> and Huber and Stephens, </w:t>
      </w:r>
      <w:r w:rsidRPr="005E3EC2">
        <w:rPr>
          <w:rFonts w:ascii="Times New Roman" w:hAnsi="Times New Roman" w:cs="Times New Roman"/>
          <w:i/>
          <w:sz w:val="24"/>
          <w:szCs w:val="24"/>
        </w:rPr>
        <w:t>Democracy and the Left</w:t>
      </w:r>
      <w:r w:rsidRPr="005E3EC2">
        <w:rPr>
          <w:rFonts w:ascii="Times New Roman" w:hAnsi="Times New Roman" w:cs="Times New Roman"/>
          <w:sz w:val="24"/>
          <w:szCs w:val="24"/>
        </w:rPr>
        <w:t>.</w:t>
      </w:r>
    </w:p>
  </w:footnote>
  <w:footnote w:id="109">
    <w:p w:rsidR="00C46EB0" w:rsidRPr="005E3EC2" w:rsidRDefault="00C46EB0" w:rsidP="005E3EC2">
      <w:pPr>
        <w:pStyle w:val="FootnoteText"/>
        <w:spacing w:line="480" w:lineRule="auto"/>
        <w:rPr>
          <w:rFonts w:ascii="Times New Roman" w:hAnsi="Times New Roman" w:cs="Times New Roman"/>
          <w:sz w:val="24"/>
          <w:szCs w:val="24"/>
        </w:rPr>
      </w:pPr>
      <w:r w:rsidRPr="005E3EC2">
        <w:rPr>
          <w:rStyle w:val="FootnoteReference"/>
          <w:rFonts w:ascii="Times New Roman" w:hAnsi="Times New Roman" w:cs="Times New Roman"/>
          <w:sz w:val="24"/>
          <w:szCs w:val="24"/>
        </w:rPr>
        <w:footnoteRef/>
      </w:r>
      <w:r w:rsidRPr="005E3EC2">
        <w:rPr>
          <w:rFonts w:ascii="Times New Roman" w:hAnsi="Times New Roman" w:cs="Times New Roman"/>
          <w:sz w:val="24"/>
          <w:szCs w:val="24"/>
        </w:rPr>
        <w:t xml:space="preserve"> Fairfield, </w:t>
      </w:r>
      <w:r w:rsidRPr="005E3EC2">
        <w:rPr>
          <w:rFonts w:ascii="Times New Roman" w:hAnsi="Times New Roman" w:cs="Times New Roman"/>
          <w:i/>
          <w:sz w:val="24"/>
          <w:szCs w:val="24"/>
        </w:rPr>
        <w:t>Private Wealth and Public Revenue</w:t>
      </w:r>
      <w:r w:rsidRPr="005E3EC2">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812"/>
    <w:multiLevelType w:val="hybridMultilevel"/>
    <w:tmpl w:val="5458363C"/>
    <w:lvl w:ilvl="0" w:tplc="57002D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85"/>
    <w:rsid w:val="00002BC6"/>
    <w:rsid w:val="000041AE"/>
    <w:rsid w:val="000043E0"/>
    <w:rsid w:val="0000454F"/>
    <w:rsid w:val="00005AB6"/>
    <w:rsid w:val="00005D6D"/>
    <w:rsid w:val="000064ED"/>
    <w:rsid w:val="00006F61"/>
    <w:rsid w:val="00007676"/>
    <w:rsid w:val="0001150F"/>
    <w:rsid w:val="00011A72"/>
    <w:rsid w:val="0001281C"/>
    <w:rsid w:val="00012A1A"/>
    <w:rsid w:val="0001370D"/>
    <w:rsid w:val="0001374F"/>
    <w:rsid w:val="00015230"/>
    <w:rsid w:val="0001573F"/>
    <w:rsid w:val="0001635E"/>
    <w:rsid w:val="00020046"/>
    <w:rsid w:val="00020083"/>
    <w:rsid w:val="000218B2"/>
    <w:rsid w:val="0002294B"/>
    <w:rsid w:val="00025656"/>
    <w:rsid w:val="00030147"/>
    <w:rsid w:val="0003050E"/>
    <w:rsid w:val="00032245"/>
    <w:rsid w:val="0003277F"/>
    <w:rsid w:val="00033A5C"/>
    <w:rsid w:val="00033D43"/>
    <w:rsid w:val="00034C58"/>
    <w:rsid w:val="00035878"/>
    <w:rsid w:val="00035A5E"/>
    <w:rsid w:val="00035CE6"/>
    <w:rsid w:val="000375CA"/>
    <w:rsid w:val="00037752"/>
    <w:rsid w:val="00037772"/>
    <w:rsid w:val="00040981"/>
    <w:rsid w:val="000419C6"/>
    <w:rsid w:val="00041F9E"/>
    <w:rsid w:val="00042BA7"/>
    <w:rsid w:val="000431DC"/>
    <w:rsid w:val="00044003"/>
    <w:rsid w:val="00046036"/>
    <w:rsid w:val="000462E0"/>
    <w:rsid w:val="00046A7A"/>
    <w:rsid w:val="000515BA"/>
    <w:rsid w:val="0005236F"/>
    <w:rsid w:val="00052983"/>
    <w:rsid w:val="00052DB6"/>
    <w:rsid w:val="0005394B"/>
    <w:rsid w:val="00053B95"/>
    <w:rsid w:val="000561DE"/>
    <w:rsid w:val="00060E51"/>
    <w:rsid w:val="0006630F"/>
    <w:rsid w:val="00067B32"/>
    <w:rsid w:val="00071155"/>
    <w:rsid w:val="00071A4A"/>
    <w:rsid w:val="000728D0"/>
    <w:rsid w:val="00073900"/>
    <w:rsid w:val="00073A6E"/>
    <w:rsid w:val="0007406F"/>
    <w:rsid w:val="0007419B"/>
    <w:rsid w:val="0007547B"/>
    <w:rsid w:val="000776C0"/>
    <w:rsid w:val="00080A31"/>
    <w:rsid w:val="0008130E"/>
    <w:rsid w:val="00081466"/>
    <w:rsid w:val="000836DD"/>
    <w:rsid w:val="00083E61"/>
    <w:rsid w:val="00084F93"/>
    <w:rsid w:val="00084FA1"/>
    <w:rsid w:val="00085262"/>
    <w:rsid w:val="00085B67"/>
    <w:rsid w:val="00085C5D"/>
    <w:rsid w:val="00086498"/>
    <w:rsid w:val="00086D6B"/>
    <w:rsid w:val="00086DDA"/>
    <w:rsid w:val="000946ED"/>
    <w:rsid w:val="0009479A"/>
    <w:rsid w:val="000A035C"/>
    <w:rsid w:val="000A154F"/>
    <w:rsid w:val="000A1740"/>
    <w:rsid w:val="000A249F"/>
    <w:rsid w:val="000A3460"/>
    <w:rsid w:val="000A3ED2"/>
    <w:rsid w:val="000A414D"/>
    <w:rsid w:val="000A45B2"/>
    <w:rsid w:val="000A48DA"/>
    <w:rsid w:val="000A7024"/>
    <w:rsid w:val="000B0A04"/>
    <w:rsid w:val="000B0C2B"/>
    <w:rsid w:val="000B1746"/>
    <w:rsid w:val="000B4442"/>
    <w:rsid w:val="000B669C"/>
    <w:rsid w:val="000C025F"/>
    <w:rsid w:val="000C0E85"/>
    <w:rsid w:val="000C1185"/>
    <w:rsid w:val="000C162A"/>
    <w:rsid w:val="000C1745"/>
    <w:rsid w:val="000C5A4C"/>
    <w:rsid w:val="000C5CD6"/>
    <w:rsid w:val="000C5F7B"/>
    <w:rsid w:val="000C60B4"/>
    <w:rsid w:val="000C6EBE"/>
    <w:rsid w:val="000C7ECE"/>
    <w:rsid w:val="000D01A0"/>
    <w:rsid w:val="000D078D"/>
    <w:rsid w:val="000D1239"/>
    <w:rsid w:val="000D12E8"/>
    <w:rsid w:val="000D2A3F"/>
    <w:rsid w:val="000D3DD2"/>
    <w:rsid w:val="000D3F58"/>
    <w:rsid w:val="000D420F"/>
    <w:rsid w:val="000D50DC"/>
    <w:rsid w:val="000D6803"/>
    <w:rsid w:val="000D7072"/>
    <w:rsid w:val="000D7EA2"/>
    <w:rsid w:val="000E075D"/>
    <w:rsid w:val="000E0CEA"/>
    <w:rsid w:val="000E4378"/>
    <w:rsid w:val="000E4F53"/>
    <w:rsid w:val="000E5136"/>
    <w:rsid w:val="000E5D99"/>
    <w:rsid w:val="000E5F02"/>
    <w:rsid w:val="000E6B50"/>
    <w:rsid w:val="000F0047"/>
    <w:rsid w:val="000F0F95"/>
    <w:rsid w:val="000F1199"/>
    <w:rsid w:val="000F12D4"/>
    <w:rsid w:val="000F1353"/>
    <w:rsid w:val="000F14A8"/>
    <w:rsid w:val="000F514B"/>
    <w:rsid w:val="000F7142"/>
    <w:rsid w:val="000F7763"/>
    <w:rsid w:val="001013DF"/>
    <w:rsid w:val="001017BB"/>
    <w:rsid w:val="001024C0"/>
    <w:rsid w:val="001029AD"/>
    <w:rsid w:val="00102E3A"/>
    <w:rsid w:val="00103DB9"/>
    <w:rsid w:val="00104275"/>
    <w:rsid w:val="00104B63"/>
    <w:rsid w:val="00104EF4"/>
    <w:rsid w:val="00104F81"/>
    <w:rsid w:val="00105BE5"/>
    <w:rsid w:val="0011156A"/>
    <w:rsid w:val="00113105"/>
    <w:rsid w:val="00116FBA"/>
    <w:rsid w:val="001171A8"/>
    <w:rsid w:val="00117FFC"/>
    <w:rsid w:val="0012037E"/>
    <w:rsid w:val="00120477"/>
    <w:rsid w:val="00121058"/>
    <w:rsid w:val="001215F0"/>
    <w:rsid w:val="0012198E"/>
    <w:rsid w:val="00121D27"/>
    <w:rsid w:val="00121F68"/>
    <w:rsid w:val="001227EC"/>
    <w:rsid w:val="00123BE8"/>
    <w:rsid w:val="00124594"/>
    <w:rsid w:val="00124CBB"/>
    <w:rsid w:val="0012626C"/>
    <w:rsid w:val="00126E28"/>
    <w:rsid w:val="00127149"/>
    <w:rsid w:val="001273DD"/>
    <w:rsid w:val="00127CC2"/>
    <w:rsid w:val="0013121B"/>
    <w:rsid w:val="001321A9"/>
    <w:rsid w:val="0013489B"/>
    <w:rsid w:val="001355DB"/>
    <w:rsid w:val="00135EC2"/>
    <w:rsid w:val="00137507"/>
    <w:rsid w:val="00137BFC"/>
    <w:rsid w:val="0014329A"/>
    <w:rsid w:val="00143A33"/>
    <w:rsid w:val="001451C6"/>
    <w:rsid w:val="00145988"/>
    <w:rsid w:val="00145A0F"/>
    <w:rsid w:val="001508D1"/>
    <w:rsid w:val="00150DE5"/>
    <w:rsid w:val="001520CF"/>
    <w:rsid w:val="00153D3A"/>
    <w:rsid w:val="00153DD9"/>
    <w:rsid w:val="00155B30"/>
    <w:rsid w:val="00156CF3"/>
    <w:rsid w:val="0015735D"/>
    <w:rsid w:val="00161674"/>
    <w:rsid w:val="001637C3"/>
    <w:rsid w:val="0016419E"/>
    <w:rsid w:val="0016500B"/>
    <w:rsid w:val="0016763F"/>
    <w:rsid w:val="00170250"/>
    <w:rsid w:val="00172274"/>
    <w:rsid w:val="00172782"/>
    <w:rsid w:val="00172BAC"/>
    <w:rsid w:val="0017505B"/>
    <w:rsid w:val="00176B48"/>
    <w:rsid w:val="00180EA9"/>
    <w:rsid w:val="00180F75"/>
    <w:rsid w:val="00186C79"/>
    <w:rsid w:val="001918C6"/>
    <w:rsid w:val="00194164"/>
    <w:rsid w:val="001955DE"/>
    <w:rsid w:val="00196022"/>
    <w:rsid w:val="001960D2"/>
    <w:rsid w:val="001968AE"/>
    <w:rsid w:val="0019721D"/>
    <w:rsid w:val="00197617"/>
    <w:rsid w:val="001978DD"/>
    <w:rsid w:val="00197BA1"/>
    <w:rsid w:val="00197D28"/>
    <w:rsid w:val="00197D30"/>
    <w:rsid w:val="001A0AB0"/>
    <w:rsid w:val="001A191D"/>
    <w:rsid w:val="001A1B96"/>
    <w:rsid w:val="001A2CB2"/>
    <w:rsid w:val="001A2D54"/>
    <w:rsid w:val="001A2DFD"/>
    <w:rsid w:val="001A3E4A"/>
    <w:rsid w:val="001A3EB3"/>
    <w:rsid w:val="001A4125"/>
    <w:rsid w:val="001A689D"/>
    <w:rsid w:val="001A7098"/>
    <w:rsid w:val="001A7686"/>
    <w:rsid w:val="001B0586"/>
    <w:rsid w:val="001B114F"/>
    <w:rsid w:val="001B1FAA"/>
    <w:rsid w:val="001B59D6"/>
    <w:rsid w:val="001B6081"/>
    <w:rsid w:val="001B6FFA"/>
    <w:rsid w:val="001C0A25"/>
    <w:rsid w:val="001C1434"/>
    <w:rsid w:val="001C2E31"/>
    <w:rsid w:val="001C58D3"/>
    <w:rsid w:val="001C621A"/>
    <w:rsid w:val="001C7151"/>
    <w:rsid w:val="001C7C1C"/>
    <w:rsid w:val="001D00DD"/>
    <w:rsid w:val="001D03E4"/>
    <w:rsid w:val="001D1D44"/>
    <w:rsid w:val="001D2093"/>
    <w:rsid w:val="001D3258"/>
    <w:rsid w:val="001D3D2F"/>
    <w:rsid w:val="001D4EBA"/>
    <w:rsid w:val="001D5F4F"/>
    <w:rsid w:val="001D66AF"/>
    <w:rsid w:val="001D7F9E"/>
    <w:rsid w:val="001E4C13"/>
    <w:rsid w:val="001E4C19"/>
    <w:rsid w:val="001E5D8F"/>
    <w:rsid w:val="001E6CFB"/>
    <w:rsid w:val="001F03F3"/>
    <w:rsid w:val="001F071A"/>
    <w:rsid w:val="001F1427"/>
    <w:rsid w:val="001F278D"/>
    <w:rsid w:val="001F2CCA"/>
    <w:rsid w:val="001F3022"/>
    <w:rsid w:val="001F3394"/>
    <w:rsid w:val="001F395A"/>
    <w:rsid w:val="001F4A15"/>
    <w:rsid w:val="001F6878"/>
    <w:rsid w:val="001F6B6A"/>
    <w:rsid w:val="00200BCC"/>
    <w:rsid w:val="002021F6"/>
    <w:rsid w:val="00202296"/>
    <w:rsid w:val="00203633"/>
    <w:rsid w:val="00203EBB"/>
    <w:rsid w:val="0020413E"/>
    <w:rsid w:val="00204352"/>
    <w:rsid w:val="00205292"/>
    <w:rsid w:val="00207043"/>
    <w:rsid w:val="00207661"/>
    <w:rsid w:val="002111B8"/>
    <w:rsid w:val="002112C8"/>
    <w:rsid w:val="00211851"/>
    <w:rsid w:val="00211D0D"/>
    <w:rsid w:val="002127D6"/>
    <w:rsid w:val="002128E0"/>
    <w:rsid w:val="00212D84"/>
    <w:rsid w:val="0021322E"/>
    <w:rsid w:val="002140DC"/>
    <w:rsid w:val="002142DB"/>
    <w:rsid w:val="00215C99"/>
    <w:rsid w:val="00215DA7"/>
    <w:rsid w:val="00216C88"/>
    <w:rsid w:val="002176A7"/>
    <w:rsid w:val="002178EB"/>
    <w:rsid w:val="002200E7"/>
    <w:rsid w:val="0022224A"/>
    <w:rsid w:val="0022279C"/>
    <w:rsid w:val="00225D7D"/>
    <w:rsid w:val="002263D2"/>
    <w:rsid w:val="002274F8"/>
    <w:rsid w:val="00227838"/>
    <w:rsid w:val="002301C4"/>
    <w:rsid w:val="0023207E"/>
    <w:rsid w:val="00232657"/>
    <w:rsid w:val="0023369E"/>
    <w:rsid w:val="00234372"/>
    <w:rsid w:val="00234B04"/>
    <w:rsid w:val="0023569E"/>
    <w:rsid w:val="002357E4"/>
    <w:rsid w:val="00235D60"/>
    <w:rsid w:val="002364E0"/>
    <w:rsid w:val="00236C1A"/>
    <w:rsid w:val="002376CB"/>
    <w:rsid w:val="00237ED7"/>
    <w:rsid w:val="00240A25"/>
    <w:rsid w:val="002417ED"/>
    <w:rsid w:val="00241ED3"/>
    <w:rsid w:val="002420D6"/>
    <w:rsid w:val="00242104"/>
    <w:rsid w:val="0024265B"/>
    <w:rsid w:val="00243038"/>
    <w:rsid w:val="00243269"/>
    <w:rsid w:val="002433DF"/>
    <w:rsid w:val="00245376"/>
    <w:rsid w:val="0024561D"/>
    <w:rsid w:val="002478A8"/>
    <w:rsid w:val="00247AEE"/>
    <w:rsid w:val="00247F30"/>
    <w:rsid w:val="002506CB"/>
    <w:rsid w:val="00250BE2"/>
    <w:rsid w:val="00250D4F"/>
    <w:rsid w:val="00251F39"/>
    <w:rsid w:val="0025291E"/>
    <w:rsid w:val="00252C3A"/>
    <w:rsid w:val="00253C8C"/>
    <w:rsid w:val="00253CBA"/>
    <w:rsid w:val="002547A6"/>
    <w:rsid w:val="00254FB0"/>
    <w:rsid w:val="00255AFA"/>
    <w:rsid w:val="00255C9A"/>
    <w:rsid w:val="0025725A"/>
    <w:rsid w:val="00260C74"/>
    <w:rsid w:val="002616AA"/>
    <w:rsid w:val="00261844"/>
    <w:rsid w:val="00262B57"/>
    <w:rsid w:val="00264E44"/>
    <w:rsid w:val="002703DE"/>
    <w:rsid w:val="00271D7D"/>
    <w:rsid w:val="00272D85"/>
    <w:rsid w:val="002758A1"/>
    <w:rsid w:val="00275CA2"/>
    <w:rsid w:val="00276685"/>
    <w:rsid w:val="00276E2B"/>
    <w:rsid w:val="00280E3D"/>
    <w:rsid w:val="00282B45"/>
    <w:rsid w:val="00285387"/>
    <w:rsid w:val="002854BB"/>
    <w:rsid w:val="00285AB2"/>
    <w:rsid w:val="002872BA"/>
    <w:rsid w:val="00292C45"/>
    <w:rsid w:val="00293DA4"/>
    <w:rsid w:val="002947E3"/>
    <w:rsid w:val="00294855"/>
    <w:rsid w:val="002952F8"/>
    <w:rsid w:val="00296957"/>
    <w:rsid w:val="002971EB"/>
    <w:rsid w:val="002A2407"/>
    <w:rsid w:val="002A2BBE"/>
    <w:rsid w:val="002A2E55"/>
    <w:rsid w:val="002A3B91"/>
    <w:rsid w:val="002A4CA6"/>
    <w:rsid w:val="002A68C4"/>
    <w:rsid w:val="002B1100"/>
    <w:rsid w:val="002B2ADC"/>
    <w:rsid w:val="002B60E0"/>
    <w:rsid w:val="002B669C"/>
    <w:rsid w:val="002B6F68"/>
    <w:rsid w:val="002C21F8"/>
    <w:rsid w:val="002C23CC"/>
    <w:rsid w:val="002C38CA"/>
    <w:rsid w:val="002C3D28"/>
    <w:rsid w:val="002C42C4"/>
    <w:rsid w:val="002C4A41"/>
    <w:rsid w:val="002C4A70"/>
    <w:rsid w:val="002C575B"/>
    <w:rsid w:val="002C5F39"/>
    <w:rsid w:val="002C66FB"/>
    <w:rsid w:val="002C7C75"/>
    <w:rsid w:val="002C7DC4"/>
    <w:rsid w:val="002D2E79"/>
    <w:rsid w:val="002D4355"/>
    <w:rsid w:val="002D51D5"/>
    <w:rsid w:val="002D5ABB"/>
    <w:rsid w:val="002D6470"/>
    <w:rsid w:val="002D7D8D"/>
    <w:rsid w:val="002E11C2"/>
    <w:rsid w:val="002E3632"/>
    <w:rsid w:val="002E4114"/>
    <w:rsid w:val="002E5123"/>
    <w:rsid w:val="002E514C"/>
    <w:rsid w:val="002E609C"/>
    <w:rsid w:val="002E6121"/>
    <w:rsid w:val="002E63C4"/>
    <w:rsid w:val="002F05BB"/>
    <w:rsid w:val="002F0EE1"/>
    <w:rsid w:val="002F286D"/>
    <w:rsid w:val="002F2AD3"/>
    <w:rsid w:val="002F3FF9"/>
    <w:rsid w:val="002F433C"/>
    <w:rsid w:val="002F672E"/>
    <w:rsid w:val="002F6D7B"/>
    <w:rsid w:val="002F6E5E"/>
    <w:rsid w:val="002F7567"/>
    <w:rsid w:val="002F7ACE"/>
    <w:rsid w:val="00301071"/>
    <w:rsid w:val="00301422"/>
    <w:rsid w:val="00304FBF"/>
    <w:rsid w:val="003057B7"/>
    <w:rsid w:val="00305EEE"/>
    <w:rsid w:val="003072B8"/>
    <w:rsid w:val="00307428"/>
    <w:rsid w:val="00310388"/>
    <w:rsid w:val="00310E49"/>
    <w:rsid w:val="00313140"/>
    <w:rsid w:val="00313D0A"/>
    <w:rsid w:val="0031460C"/>
    <w:rsid w:val="00316421"/>
    <w:rsid w:val="00316DD7"/>
    <w:rsid w:val="003204FE"/>
    <w:rsid w:val="00320719"/>
    <w:rsid w:val="00322A9B"/>
    <w:rsid w:val="00322EA4"/>
    <w:rsid w:val="00323F4A"/>
    <w:rsid w:val="0032544C"/>
    <w:rsid w:val="0032606C"/>
    <w:rsid w:val="00327C66"/>
    <w:rsid w:val="00332611"/>
    <w:rsid w:val="00332A20"/>
    <w:rsid w:val="00332B28"/>
    <w:rsid w:val="00332BD7"/>
    <w:rsid w:val="00334D66"/>
    <w:rsid w:val="00335519"/>
    <w:rsid w:val="00336A29"/>
    <w:rsid w:val="00337932"/>
    <w:rsid w:val="00337967"/>
    <w:rsid w:val="00342C52"/>
    <w:rsid w:val="00345E9B"/>
    <w:rsid w:val="00346207"/>
    <w:rsid w:val="00347464"/>
    <w:rsid w:val="003505D6"/>
    <w:rsid w:val="00351277"/>
    <w:rsid w:val="003515B1"/>
    <w:rsid w:val="00351CF9"/>
    <w:rsid w:val="00351F40"/>
    <w:rsid w:val="00351FDA"/>
    <w:rsid w:val="00352301"/>
    <w:rsid w:val="00353AFC"/>
    <w:rsid w:val="0035412E"/>
    <w:rsid w:val="00355830"/>
    <w:rsid w:val="00356161"/>
    <w:rsid w:val="00356DEC"/>
    <w:rsid w:val="0036010F"/>
    <w:rsid w:val="003624BF"/>
    <w:rsid w:val="00362E03"/>
    <w:rsid w:val="00363761"/>
    <w:rsid w:val="00363E3D"/>
    <w:rsid w:val="003640FC"/>
    <w:rsid w:val="003643EB"/>
    <w:rsid w:val="00364844"/>
    <w:rsid w:val="00365C4D"/>
    <w:rsid w:val="003663C3"/>
    <w:rsid w:val="003664A4"/>
    <w:rsid w:val="0036652F"/>
    <w:rsid w:val="00366939"/>
    <w:rsid w:val="00367DCF"/>
    <w:rsid w:val="003709B5"/>
    <w:rsid w:val="00371DC5"/>
    <w:rsid w:val="00374BEF"/>
    <w:rsid w:val="00381845"/>
    <w:rsid w:val="00384DF2"/>
    <w:rsid w:val="00386108"/>
    <w:rsid w:val="00390E02"/>
    <w:rsid w:val="00391814"/>
    <w:rsid w:val="003922E8"/>
    <w:rsid w:val="00393475"/>
    <w:rsid w:val="003970B9"/>
    <w:rsid w:val="00397661"/>
    <w:rsid w:val="00397889"/>
    <w:rsid w:val="003A0305"/>
    <w:rsid w:val="003A1EBB"/>
    <w:rsid w:val="003A3D89"/>
    <w:rsid w:val="003A4474"/>
    <w:rsid w:val="003A4757"/>
    <w:rsid w:val="003B0C5C"/>
    <w:rsid w:val="003B0F25"/>
    <w:rsid w:val="003B1494"/>
    <w:rsid w:val="003B2D68"/>
    <w:rsid w:val="003B4558"/>
    <w:rsid w:val="003B50F4"/>
    <w:rsid w:val="003B5E49"/>
    <w:rsid w:val="003B66EC"/>
    <w:rsid w:val="003B6F18"/>
    <w:rsid w:val="003C4721"/>
    <w:rsid w:val="003D1511"/>
    <w:rsid w:val="003D3114"/>
    <w:rsid w:val="003D3284"/>
    <w:rsid w:val="003D35BC"/>
    <w:rsid w:val="003D38E7"/>
    <w:rsid w:val="003D404B"/>
    <w:rsid w:val="003D67E0"/>
    <w:rsid w:val="003E0D78"/>
    <w:rsid w:val="003E2648"/>
    <w:rsid w:val="003E2A07"/>
    <w:rsid w:val="003E2EFE"/>
    <w:rsid w:val="003E419E"/>
    <w:rsid w:val="003E4434"/>
    <w:rsid w:val="003E5514"/>
    <w:rsid w:val="003E606A"/>
    <w:rsid w:val="003E719F"/>
    <w:rsid w:val="003E7309"/>
    <w:rsid w:val="003F0918"/>
    <w:rsid w:val="003F21FF"/>
    <w:rsid w:val="003F4AA4"/>
    <w:rsid w:val="003F66B5"/>
    <w:rsid w:val="003F6831"/>
    <w:rsid w:val="003F6F54"/>
    <w:rsid w:val="00400456"/>
    <w:rsid w:val="00401150"/>
    <w:rsid w:val="0040211C"/>
    <w:rsid w:val="00402162"/>
    <w:rsid w:val="004022F4"/>
    <w:rsid w:val="00403676"/>
    <w:rsid w:val="00410C56"/>
    <w:rsid w:val="00412BE9"/>
    <w:rsid w:val="00412DF4"/>
    <w:rsid w:val="00413271"/>
    <w:rsid w:val="00413621"/>
    <w:rsid w:val="00415A06"/>
    <w:rsid w:val="00417E34"/>
    <w:rsid w:val="00417EDB"/>
    <w:rsid w:val="004211DD"/>
    <w:rsid w:val="00421D1A"/>
    <w:rsid w:val="00424E58"/>
    <w:rsid w:val="0042581E"/>
    <w:rsid w:val="004263AC"/>
    <w:rsid w:val="0042678A"/>
    <w:rsid w:val="00427912"/>
    <w:rsid w:val="00427B5E"/>
    <w:rsid w:val="004302FD"/>
    <w:rsid w:val="00430525"/>
    <w:rsid w:val="004312C3"/>
    <w:rsid w:val="00431D61"/>
    <w:rsid w:val="00432344"/>
    <w:rsid w:val="004323C5"/>
    <w:rsid w:val="00433E2E"/>
    <w:rsid w:val="00434112"/>
    <w:rsid w:val="004342E3"/>
    <w:rsid w:val="004357A5"/>
    <w:rsid w:val="004367D0"/>
    <w:rsid w:val="00436C65"/>
    <w:rsid w:val="00436C9A"/>
    <w:rsid w:val="00440211"/>
    <w:rsid w:val="004406B5"/>
    <w:rsid w:val="00444CC5"/>
    <w:rsid w:val="00444D11"/>
    <w:rsid w:val="00446BC2"/>
    <w:rsid w:val="00446F82"/>
    <w:rsid w:val="004471D7"/>
    <w:rsid w:val="00447827"/>
    <w:rsid w:val="00450FC5"/>
    <w:rsid w:val="00451738"/>
    <w:rsid w:val="004519B7"/>
    <w:rsid w:val="004520A0"/>
    <w:rsid w:val="004526D3"/>
    <w:rsid w:val="00457253"/>
    <w:rsid w:val="00457572"/>
    <w:rsid w:val="004575B3"/>
    <w:rsid w:val="00464D5D"/>
    <w:rsid w:val="004660CB"/>
    <w:rsid w:val="004700BA"/>
    <w:rsid w:val="00471701"/>
    <w:rsid w:val="0047171B"/>
    <w:rsid w:val="004728D8"/>
    <w:rsid w:val="00473179"/>
    <w:rsid w:val="00473379"/>
    <w:rsid w:val="00474501"/>
    <w:rsid w:val="0047494E"/>
    <w:rsid w:val="0047558D"/>
    <w:rsid w:val="00475BD7"/>
    <w:rsid w:val="00481792"/>
    <w:rsid w:val="00481BC0"/>
    <w:rsid w:val="00481EC5"/>
    <w:rsid w:val="00482506"/>
    <w:rsid w:val="00483256"/>
    <w:rsid w:val="00483263"/>
    <w:rsid w:val="00484A7F"/>
    <w:rsid w:val="004878F2"/>
    <w:rsid w:val="00487BC1"/>
    <w:rsid w:val="004907E7"/>
    <w:rsid w:val="0049168A"/>
    <w:rsid w:val="00492533"/>
    <w:rsid w:val="00492C01"/>
    <w:rsid w:val="004937FD"/>
    <w:rsid w:val="00493C5B"/>
    <w:rsid w:val="0049425D"/>
    <w:rsid w:val="004944C4"/>
    <w:rsid w:val="004975F3"/>
    <w:rsid w:val="004A0155"/>
    <w:rsid w:val="004A0728"/>
    <w:rsid w:val="004A08AB"/>
    <w:rsid w:val="004A13E9"/>
    <w:rsid w:val="004A2786"/>
    <w:rsid w:val="004A33F2"/>
    <w:rsid w:val="004A3E84"/>
    <w:rsid w:val="004A4A9B"/>
    <w:rsid w:val="004A747B"/>
    <w:rsid w:val="004B0104"/>
    <w:rsid w:val="004B07D9"/>
    <w:rsid w:val="004B11BF"/>
    <w:rsid w:val="004B4270"/>
    <w:rsid w:val="004B7E3C"/>
    <w:rsid w:val="004C0318"/>
    <w:rsid w:val="004C0B1A"/>
    <w:rsid w:val="004C0B58"/>
    <w:rsid w:val="004C433E"/>
    <w:rsid w:val="004C5193"/>
    <w:rsid w:val="004C7B36"/>
    <w:rsid w:val="004D2E8D"/>
    <w:rsid w:val="004D3984"/>
    <w:rsid w:val="004D7239"/>
    <w:rsid w:val="004D7366"/>
    <w:rsid w:val="004D7673"/>
    <w:rsid w:val="004E1E52"/>
    <w:rsid w:val="004E20DA"/>
    <w:rsid w:val="004E30BF"/>
    <w:rsid w:val="004E36A0"/>
    <w:rsid w:val="004E5D7A"/>
    <w:rsid w:val="004E6EDB"/>
    <w:rsid w:val="004E77FB"/>
    <w:rsid w:val="004F07EB"/>
    <w:rsid w:val="004F23A6"/>
    <w:rsid w:val="004F2925"/>
    <w:rsid w:val="004F6E2A"/>
    <w:rsid w:val="005006D7"/>
    <w:rsid w:val="00500839"/>
    <w:rsid w:val="005021A6"/>
    <w:rsid w:val="00502F04"/>
    <w:rsid w:val="005045A8"/>
    <w:rsid w:val="00505A46"/>
    <w:rsid w:val="00512D12"/>
    <w:rsid w:val="00515851"/>
    <w:rsid w:val="00515BAC"/>
    <w:rsid w:val="00516B92"/>
    <w:rsid w:val="0051762C"/>
    <w:rsid w:val="00522484"/>
    <w:rsid w:val="00522BD3"/>
    <w:rsid w:val="00524F99"/>
    <w:rsid w:val="00526D52"/>
    <w:rsid w:val="005276AB"/>
    <w:rsid w:val="00527FE8"/>
    <w:rsid w:val="00531786"/>
    <w:rsid w:val="00532F3A"/>
    <w:rsid w:val="0053318E"/>
    <w:rsid w:val="00533BAB"/>
    <w:rsid w:val="00534D51"/>
    <w:rsid w:val="00536110"/>
    <w:rsid w:val="00536F3E"/>
    <w:rsid w:val="005371C7"/>
    <w:rsid w:val="0053737E"/>
    <w:rsid w:val="005375A0"/>
    <w:rsid w:val="00537A4E"/>
    <w:rsid w:val="0054012A"/>
    <w:rsid w:val="00541B97"/>
    <w:rsid w:val="005437AD"/>
    <w:rsid w:val="00545201"/>
    <w:rsid w:val="00545F57"/>
    <w:rsid w:val="0054638C"/>
    <w:rsid w:val="00546CDC"/>
    <w:rsid w:val="00546D6D"/>
    <w:rsid w:val="00546E3F"/>
    <w:rsid w:val="00547018"/>
    <w:rsid w:val="00551A7B"/>
    <w:rsid w:val="00552047"/>
    <w:rsid w:val="00552066"/>
    <w:rsid w:val="0055254E"/>
    <w:rsid w:val="00553668"/>
    <w:rsid w:val="005567DB"/>
    <w:rsid w:val="00557FAC"/>
    <w:rsid w:val="00560480"/>
    <w:rsid w:val="0056160C"/>
    <w:rsid w:val="00561A84"/>
    <w:rsid w:val="00563466"/>
    <w:rsid w:val="005638FC"/>
    <w:rsid w:val="00564708"/>
    <w:rsid w:val="00565960"/>
    <w:rsid w:val="00567248"/>
    <w:rsid w:val="00567632"/>
    <w:rsid w:val="00571463"/>
    <w:rsid w:val="005732EC"/>
    <w:rsid w:val="005746A9"/>
    <w:rsid w:val="00575910"/>
    <w:rsid w:val="00576312"/>
    <w:rsid w:val="00577BAF"/>
    <w:rsid w:val="00583B55"/>
    <w:rsid w:val="005842C1"/>
    <w:rsid w:val="005848A1"/>
    <w:rsid w:val="00584DD8"/>
    <w:rsid w:val="005861A9"/>
    <w:rsid w:val="00587602"/>
    <w:rsid w:val="00587AB5"/>
    <w:rsid w:val="0059024C"/>
    <w:rsid w:val="00591097"/>
    <w:rsid w:val="00591C55"/>
    <w:rsid w:val="00592845"/>
    <w:rsid w:val="005938F7"/>
    <w:rsid w:val="005944A1"/>
    <w:rsid w:val="00597433"/>
    <w:rsid w:val="00597832"/>
    <w:rsid w:val="005979CD"/>
    <w:rsid w:val="005A0073"/>
    <w:rsid w:val="005A1922"/>
    <w:rsid w:val="005A25E7"/>
    <w:rsid w:val="005B1A73"/>
    <w:rsid w:val="005B1CD8"/>
    <w:rsid w:val="005B2AA8"/>
    <w:rsid w:val="005B2D76"/>
    <w:rsid w:val="005B46D4"/>
    <w:rsid w:val="005B4DD3"/>
    <w:rsid w:val="005B4FEF"/>
    <w:rsid w:val="005B5F45"/>
    <w:rsid w:val="005C08D0"/>
    <w:rsid w:val="005C109D"/>
    <w:rsid w:val="005C537A"/>
    <w:rsid w:val="005C5533"/>
    <w:rsid w:val="005C5AB2"/>
    <w:rsid w:val="005C61C6"/>
    <w:rsid w:val="005C7188"/>
    <w:rsid w:val="005C74C6"/>
    <w:rsid w:val="005D0272"/>
    <w:rsid w:val="005D0975"/>
    <w:rsid w:val="005D17EF"/>
    <w:rsid w:val="005D1E06"/>
    <w:rsid w:val="005D4704"/>
    <w:rsid w:val="005D6D8E"/>
    <w:rsid w:val="005D6E3F"/>
    <w:rsid w:val="005D7D48"/>
    <w:rsid w:val="005E0245"/>
    <w:rsid w:val="005E2455"/>
    <w:rsid w:val="005E3EC2"/>
    <w:rsid w:val="005E5842"/>
    <w:rsid w:val="005E75BF"/>
    <w:rsid w:val="005F030D"/>
    <w:rsid w:val="005F08A6"/>
    <w:rsid w:val="005F0A68"/>
    <w:rsid w:val="005F24F5"/>
    <w:rsid w:val="005F2525"/>
    <w:rsid w:val="005F274F"/>
    <w:rsid w:val="005F2B90"/>
    <w:rsid w:val="005F3A90"/>
    <w:rsid w:val="005F3FF1"/>
    <w:rsid w:val="005F6420"/>
    <w:rsid w:val="005F6934"/>
    <w:rsid w:val="005F7382"/>
    <w:rsid w:val="00600760"/>
    <w:rsid w:val="006023D8"/>
    <w:rsid w:val="00602530"/>
    <w:rsid w:val="006031DC"/>
    <w:rsid w:val="00604B1D"/>
    <w:rsid w:val="006058C9"/>
    <w:rsid w:val="00605CE3"/>
    <w:rsid w:val="00606235"/>
    <w:rsid w:val="00606311"/>
    <w:rsid w:val="00606DA0"/>
    <w:rsid w:val="00613796"/>
    <w:rsid w:val="006137E7"/>
    <w:rsid w:val="00614928"/>
    <w:rsid w:val="00615DFE"/>
    <w:rsid w:val="006161A5"/>
    <w:rsid w:val="00617004"/>
    <w:rsid w:val="00617B71"/>
    <w:rsid w:val="00622088"/>
    <w:rsid w:val="00623C4C"/>
    <w:rsid w:val="00626499"/>
    <w:rsid w:val="00630EF2"/>
    <w:rsid w:val="00631818"/>
    <w:rsid w:val="00633809"/>
    <w:rsid w:val="00634075"/>
    <w:rsid w:val="00634936"/>
    <w:rsid w:val="00636FC8"/>
    <w:rsid w:val="006370EB"/>
    <w:rsid w:val="006373B2"/>
    <w:rsid w:val="0064195D"/>
    <w:rsid w:val="00642066"/>
    <w:rsid w:val="006448A0"/>
    <w:rsid w:val="00644977"/>
    <w:rsid w:val="00647DF1"/>
    <w:rsid w:val="006518AD"/>
    <w:rsid w:val="0065391F"/>
    <w:rsid w:val="00654DBD"/>
    <w:rsid w:val="00655141"/>
    <w:rsid w:val="00656385"/>
    <w:rsid w:val="0065695C"/>
    <w:rsid w:val="006578FA"/>
    <w:rsid w:val="006604C3"/>
    <w:rsid w:val="00660514"/>
    <w:rsid w:val="0066270F"/>
    <w:rsid w:val="006642D0"/>
    <w:rsid w:val="006651F7"/>
    <w:rsid w:val="00665579"/>
    <w:rsid w:val="00665CA1"/>
    <w:rsid w:val="00671FF9"/>
    <w:rsid w:val="0067257A"/>
    <w:rsid w:val="00676346"/>
    <w:rsid w:val="00682712"/>
    <w:rsid w:val="006832C8"/>
    <w:rsid w:val="00683839"/>
    <w:rsid w:val="00684B18"/>
    <w:rsid w:val="006865DB"/>
    <w:rsid w:val="006873C6"/>
    <w:rsid w:val="00687461"/>
    <w:rsid w:val="006874AD"/>
    <w:rsid w:val="00690F0F"/>
    <w:rsid w:val="006913C7"/>
    <w:rsid w:val="00691B2E"/>
    <w:rsid w:val="0069308E"/>
    <w:rsid w:val="006933A4"/>
    <w:rsid w:val="00693B82"/>
    <w:rsid w:val="006942CC"/>
    <w:rsid w:val="0069727C"/>
    <w:rsid w:val="006A092C"/>
    <w:rsid w:val="006A1023"/>
    <w:rsid w:val="006A26E9"/>
    <w:rsid w:val="006A2A7D"/>
    <w:rsid w:val="006A42C3"/>
    <w:rsid w:val="006A4B2A"/>
    <w:rsid w:val="006A78DD"/>
    <w:rsid w:val="006B04F1"/>
    <w:rsid w:val="006B0AD4"/>
    <w:rsid w:val="006B28CD"/>
    <w:rsid w:val="006B2BBE"/>
    <w:rsid w:val="006B318E"/>
    <w:rsid w:val="006B3DF9"/>
    <w:rsid w:val="006B56F7"/>
    <w:rsid w:val="006B730D"/>
    <w:rsid w:val="006B75EE"/>
    <w:rsid w:val="006B7E7D"/>
    <w:rsid w:val="006C1B8D"/>
    <w:rsid w:val="006C22E1"/>
    <w:rsid w:val="006C2F62"/>
    <w:rsid w:val="006C3292"/>
    <w:rsid w:val="006C345D"/>
    <w:rsid w:val="006C588E"/>
    <w:rsid w:val="006C5C48"/>
    <w:rsid w:val="006C63D8"/>
    <w:rsid w:val="006C6C73"/>
    <w:rsid w:val="006C786E"/>
    <w:rsid w:val="006C7CBF"/>
    <w:rsid w:val="006D0785"/>
    <w:rsid w:val="006D0B22"/>
    <w:rsid w:val="006D221D"/>
    <w:rsid w:val="006D4022"/>
    <w:rsid w:val="006D64D7"/>
    <w:rsid w:val="006D6E9E"/>
    <w:rsid w:val="006D79FB"/>
    <w:rsid w:val="006D7AC2"/>
    <w:rsid w:val="006D7D67"/>
    <w:rsid w:val="006E0773"/>
    <w:rsid w:val="006E0DD8"/>
    <w:rsid w:val="006E1295"/>
    <w:rsid w:val="006E273D"/>
    <w:rsid w:val="006E3A25"/>
    <w:rsid w:val="006E40A0"/>
    <w:rsid w:val="006E6C42"/>
    <w:rsid w:val="006E7342"/>
    <w:rsid w:val="006F0E38"/>
    <w:rsid w:val="006F1DBC"/>
    <w:rsid w:val="006F293E"/>
    <w:rsid w:val="006F2FBD"/>
    <w:rsid w:val="006F3E64"/>
    <w:rsid w:val="006F483F"/>
    <w:rsid w:val="006F5B39"/>
    <w:rsid w:val="006F6202"/>
    <w:rsid w:val="006F6999"/>
    <w:rsid w:val="006F7A6B"/>
    <w:rsid w:val="006F7FA8"/>
    <w:rsid w:val="00700A24"/>
    <w:rsid w:val="0070269D"/>
    <w:rsid w:val="00702F25"/>
    <w:rsid w:val="00705286"/>
    <w:rsid w:val="00705A26"/>
    <w:rsid w:val="00706742"/>
    <w:rsid w:val="0071070D"/>
    <w:rsid w:val="00711304"/>
    <w:rsid w:val="007121CC"/>
    <w:rsid w:val="007122B1"/>
    <w:rsid w:val="00712E3A"/>
    <w:rsid w:val="00713560"/>
    <w:rsid w:val="00713A14"/>
    <w:rsid w:val="00713A2D"/>
    <w:rsid w:val="007142EF"/>
    <w:rsid w:val="00714566"/>
    <w:rsid w:val="00716F0A"/>
    <w:rsid w:val="0072037D"/>
    <w:rsid w:val="007203D9"/>
    <w:rsid w:val="00721387"/>
    <w:rsid w:val="00721598"/>
    <w:rsid w:val="00722487"/>
    <w:rsid w:val="007224A2"/>
    <w:rsid w:val="00723E9B"/>
    <w:rsid w:val="007241E1"/>
    <w:rsid w:val="007245A9"/>
    <w:rsid w:val="00727555"/>
    <w:rsid w:val="00733326"/>
    <w:rsid w:val="00734563"/>
    <w:rsid w:val="00734CA7"/>
    <w:rsid w:val="007352B9"/>
    <w:rsid w:val="0073558D"/>
    <w:rsid w:val="00740AC0"/>
    <w:rsid w:val="007427AD"/>
    <w:rsid w:val="00742CA0"/>
    <w:rsid w:val="00743C39"/>
    <w:rsid w:val="00743F68"/>
    <w:rsid w:val="00744CE5"/>
    <w:rsid w:val="007453D6"/>
    <w:rsid w:val="0074546E"/>
    <w:rsid w:val="00746F7E"/>
    <w:rsid w:val="007473BF"/>
    <w:rsid w:val="00750719"/>
    <w:rsid w:val="00751294"/>
    <w:rsid w:val="00751500"/>
    <w:rsid w:val="007517D0"/>
    <w:rsid w:val="00751FD5"/>
    <w:rsid w:val="00752B3D"/>
    <w:rsid w:val="00753CE5"/>
    <w:rsid w:val="0075746F"/>
    <w:rsid w:val="00757F7B"/>
    <w:rsid w:val="00760348"/>
    <w:rsid w:val="00761A4E"/>
    <w:rsid w:val="007626F4"/>
    <w:rsid w:val="00763829"/>
    <w:rsid w:val="00763BEC"/>
    <w:rsid w:val="00763F9B"/>
    <w:rsid w:val="00765A01"/>
    <w:rsid w:val="00766B5A"/>
    <w:rsid w:val="00766DA0"/>
    <w:rsid w:val="00767078"/>
    <w:rsid w:val="007708BA"/>
    <w:rsid w:val="00770AED"/>
    <w:rsid w:val="00770CC8"/>
    <w:rsid w:val="007716DC"/>
    <w:rsid w:val="007728BA"/>
    <w:rsid w:val="0078123E"/>
    <w:rsid w:val="00781C0E"/>
    <w:rsid w:val="00781C85"/>
    <w:rsid w:val="007821AF"/>
    <w:rsid w:val="007852FC"/>
    <w:rsid w:val="00786C48"/>
    <w:rsid w:val="00787327"/>
    <w:rsid w:val="007874E5"/>
    <w:rsid w:val="007900FB"/>
    <w:rsid w:val="00790437"/>
    <w:rsid w:val="007905FA"/>
    <w:rsid w:val="00790669"/>
    <w:rsid w:val="00792993"/>
    <w:rsid w:val="00792F70"/>
    <w:rsid w:val="00794782"/>
    <w:rsid w:val="0079610A"/>
    <w:rsid w:val="007A0038"/>
    <w:rsid w:val="007A0568"/>
    <w:rsid w:val="007A323D"/>
    <w:rsid w:val="007A3711"/>
    <w:rsid w:val="007A5193"/>
    <w:rsid w:val="007A56E5"/>
    <w:rsid w:val="007A5A78"/>
    <w:rsid w:val="007A7A0C"/>
    <w:rsid w:val="007A7CD0"/>
    <w:rsid w:val="007B0874"/>
    <w:rsid w:val="007B0951"/>
    <w:rsid w:val="007B1815"/>
    <w:rsid w:val="007B379D"/>
    <w:rsid w:val="007B385B"/>
    <w:rsid w:val="007B44BA"/>
    <w:rsid w:val="007B6C9B"/>
    <w:rsid w:val="007C04E8"/>
    <w:rsid w:val="007C0997"/>
    <w:rsid w:val="007C4D07"/>
    <w:rsid w:val="007C5B1C"/>
    <w:rsid w:val="007C6124"/>
    <w:rsid w:val="007C6BF9"/>
    <w:rsid w:val="007C6D93"/>
    <w:rsid w:val="007C7BC6"/>
    <w:rsid w:val="007D0011"/>
    <w:rsid w:val="007D0102"/>
    <w:rsid w:val="007D04CC"/>
    <w:rsid w:val="007D30EB"/>
    <w:rsid w:val="007D3287"/>
    <w:rsid w:val="007D3419"/>
    <w:rsid w:val="007D3BA1"/>
    <w:rsid w:val="007D3ED0"/>
    <w:rsid w:val="007D4B81"/>
    <w:rsid w:val="007D60F3"/>
    <w:rsid w:val="007E461A"/>
    <w:rsid w:val="007E4C78"/>
    <w:rsid w:val="007E56C2"/>
    <w:rsid w:val="007E601E"/>
    <w:rsid w:val="007E606B"/>
    <w:rsid w:val="007E63E6"/>
    <w:rsid w:val="007E7B2B"/>
    <w:rsid w:val="007F0730"/>
    <w:rsid w:val="007F13E8"/>
    <w:rsid w:val="007F6042"/>
    <w:rsid w:val="00802270"/>
    <w:rsid w:val="00803004"/>
    <w:rsid w:val="00803C8A"/>
    <w:rsid w:val="008043EC"/>
    <w:rsid w:val="008068AE"/>
    <w:rsid w:val="0080768D"/>
    <w:rsid w:val="00810FE4"/>
    <w:rsid w:val="0081248E"/>
    <w:rsid w:val="00813D7E"/>
    <w:rsid w:val="00814FBC"/>
    <w:rsid w:val="00817594"/>
    <w:rsid w:val="00821709"/>
    <w:rsid w:val="00822002"/>
    <w:rsid w:val="0082403E"/>
    <w:rsid w:val="00827FAA"/>
    <w:rsid w:val="00830A0D"/>
    <w:rsid w:val="00831790"/>
    <w:rsid w:val="00832065"/>
    <w:rsid w:val="00832433"/>
    <w:rsid w:val="00832697"/>
    <w:rsid w:val="00833ECD"/>
    <w:rsid w:val="00834978"/>
    <w:rsid w:val="00835B6A"/>
    <w:rsid w:val="0083739D"/>
    <w:rsid w:val="0083757E"/>
    <w:rsid w:val="008376AA"/>
    <w:rsid w:val="00840F68"/>
    <w:rsid w:val="00842168"/>
    <w:rsid w:val="00842375"/>
    <w:rsid w:val="00845616"/>
    <w:rsid w:val="008462A7"/>
    <w:rsid w:val="00846E72"/>
    <w:rsid w:val="00847841"/>
    <w:rsid w:val="00847D54"/>
    <w:rsid w:val="008540C5"/>
    <w:rsid w:val="0085598A"/>
    <w:rsid w:val="00855DC2"/>
    <w:rsid w:val="00862F81"/>
    <w:rsid w:val="00863CE9"/>
    <w:rsid w:val="0086403C"/>
    <w:rsid w:val="00866E0E"/>
    <w:rsid w:val="00870362"/>
    <w:rsid w:val="00870C98"/>
    <w:rsid w:val="008710C1"/>
    <w:rsid w:val="0087133F"/>
    <w:rsid w:val="00871B78"/>
    <w:rsid w:val="00872379"/>
    <w:rsid w:val="00872C1D"/>
    <w:rsid w:val="00875B91"/>
    <w:rsid w:val="00875F08"/>
    <w:rsid w:val="008766CA"/>
    <w:rsid w:val="00877A2C"/>
    <w:rsid w:val="00880633"/>
    <w:rsid w:val="00882720"/>
    <w:rsid w:val="008829B3"/>
    <w:rsid w:val="00882ED7"/>
    <w:rsid w:val="008834BF"/>
    <w:rsid w:val="00883B46"/>
    <w:rsid w:val="00884B63"/>
    <w:rsid w:val="00884E3E"/>
    <w:rsid w:val="00884E73"/>
    <w:rsid w:val="00886850"/>
    <w:rsid w:val="0088739A"/>
    <w:rsid w:val="00891899"/>
    <w:rsid w:val="00891E6A"/>
    <w:rsid w:val="00892177"/>
    <w:rsid w:val="008921BB"/>
    <w:rsid w:val="0089376C"/>
    <w:rsid w:val="00893C3A"/>
    <w:rsid w:val="00894A57"/>
    <w:rsid w:val="0089523C"/>
    <w:rsid w:val="00895E4C"/>
    <w:rsid w:val="0089609D"/>
    <w:rsid w:val="0089699E"/>
    <w:rsid w:val="00896EB1"/>
    <w:rsid w:val="008A1967"/>
    <w:rsid w:val="008A22F0"/>
    <w:rsid w:val="008A3BB3"/>
    <w:rsid w:val="008A76C4"/>
    <w:rsid w:val="008A7E6B"/>
    <w:rsid w:val="008B133F"/>
    <w:rsid w:val="008B2FD9"/>
    <w:rsid w:val="008B34FF"/>
    <w:rsid w:val="008B3E43"/>
    <w:rsid w:val="008B464C"/>
    <w:rsid w:val="008B48CB"/>
    <w:rsid w:val="008B4A79"/>
    <w:rsid w:val="008B7C9A"/>
    <w:rsid w:val="008B7F45"/>
    <w:rsid w:val="008C2989"/>
    <w:rsid w:val="008C4503"/>
    <w:rsid w:val="008C5B58"/>
    <w:rsid w:val="008C63C0"/>
    <w:rsid w:val="008C7959"/>
    <w:rsid w:val="008D01FE"/>
    <w:rsid w:val="008D3090"/>
    <w:rsid w:val="008D3174"/>
    <w:rsid w:val="008D476E"/>
    <w:rsid w:val="008D47F7"/>
    <w:rsid w:val="008D4B6F"/>
    <w:rsid w:val="008D501E"/>
    <w:rsid w:val="008D7FD2"/>
    <w:rsid w:val="008E2367"/>
    <w:rsid w:val="008E384A"/>
    <w:rsid w:val="008E3A60"/>
    <w:rsid w:val="008E3E9A"/>
    <w:rsid w:val="008F0A5D"/>
    <w:rsid w:val="008F0EDD"/>
    <w:rsid w:val="008F2290"/>
    <w:rsid w:val="008F23BF"/>
    <w:rsid w:val="008F2DEE"/>
    <w:rsid w:val="008F3BCA"/>
    <w:rsid w:val="008F489F"/>
    <w:rsid w:val="008F4B7A"/>
    <w:rsid w:val="008F6429"/>
    <w:rsid w:val="008F6AF7"/>
    <w:rsid w:val="008F7FF1"/>
    <w:rsid w:val="009006AD"/>
    <w:rsid w:val="009020C3"/>
    <w:rsid w:val="009070D4"/>
    <w:rsid w:val="009073A4"/>
    <w:rsid w:val="00907922"/>
    <w:rsid w:val="00912F99"/>
    <w:rsid w:val="00913FDC"/>
    <w:rsid w:val="00914788"/>
    <w:rsid w:val="0091515C"/>
    <w:rsid w:val="00916021"/>
    <w:rsid w:val="0091659D"/>
    <w:rsid w:val="00916755"/>
    <w:rsid w:val="009210EF"/>
    <w:rsid w:val="00921556"/>
    <w:rsid w:val="009225EA"/>
    <w:rsid w:val="00923C15"/>
    <w:rsid w:val="00926AFC"/>
    <w:rsid w:val="00926EF3"/>
    <w:rsid w:val="00931912"/>
    <w:rsid w:val="00933181"/>
    <w:rsid w:val="0093374E"/>
    <w:rsid w:val="00934781"/>
    <w:rsid w:val="00935545"/>
    <w:rsid w:val="009355FA"/>
    <w:rsid w:val="00935745"/>
    <w:rsid w:val="009362C4"/>
    <w:rsid w:val="00940CDC"/>
    <w:rsid w:val="009412E3"/>
    <w:rsid w:val="00941B99"/>
    <w:rsid w:val="009428CC"/>
    <w:rsid w:val="00942BFE"/>
    <w:rsid w:val="0094769F"/>
    <w:rsid w:val="00950A2D"/>
    <w:rsid w:val="009532EE"/>
    <w:rsid w:val="00953D6B"/>
    <w:rsid w:val="00954A3B"/>
    <w:rsid w:val="0095581F"/>
    <w:rsid w:val="0095611D"/>
    <w:rsid w:val="00956AF3"/>
    <w:rsid w:val="00957690"/>
    <w:rsid w:val="00960C42"/>
    <w:rsid w:val="00960C5A"/>
    <w:rsid w:val="00960D39"/>
    <w:rsid w:val="0096114F"/>
    <w:rsid w:val="00961296"/>
    <w:rsid w:val="00962A5C"/>
    <w:rsid w:val="00963B93"/>
    <w:rsid w:val="009657E3"/>
    <w:rsid w:val="00965EC1"/>
    <w:rsid w:val="00966167"/>
    <w:rsid w:val="009666D1"/>
    <w:rsid w:val="009672E3"/>
    <w:rsid w:val="00967589"/>
    <w:rsid w:val="009730F3"/>
    <w:rsid w:val="0097479C"/>
    <w:rsid w:val="0097525B"/>
    <w:rsid w:val="00976397"/>
    <w:rsid w:val="00982358"/>
    <w:rsid w:val="00982A69"/>
    <w:rsid w:val="0098326E"/>
    <w:rsid w:val="00986394"/>
    <w:rsid w:val="00986FD1"/>
    <w:rsid w:val="009901FC"/>
    <w:rsid w:val="0099174A"/>
    <w:rsid w:val="00993B81"/>
    <w:rsid w:val="00994761"/>
    <w:rsid w:val="0099518B"/>
    <w:rsid w:val="0099681C"/>
    <w:rsid w:val="00997750"/>
    <w:rsid w:val="00997C5F"/>
    <w:rsid w:val="009A1EE9"/>
    <w:rsid w:val="009A2270"/>
    <w:rsid w:val="009A2510"/>
    <w:rsid w:val="009A3128"/>
    <w:rsid w:val="009A3758"/>
    <w:rsid w:val="009A661E"/>
    <w:rsid w:val="009A6CCC"/>
    <w:rsid w:val="009A7189"/>
    <w:rsid w:val="009A7460"/>
    <w:rsid w:val="009B09B3"/>
    <w:rsid w:val="009B1C85"/>
    <w:rsid w:val="009B369B"/>
    <w:rsid w:val="009B3A30"/>
    <w:rsid w:val="009B6821"/>
    <w:rsid w:val="009B73AE"/>
    <w:rsid w:val="009B7444"/>
    <w:rsid w:val="009B7A45"/>
    <w:rsid w:val="009C0435"/>
    <w:rsid w:val="009C089D"/>
    <w:rsid w:val="009C17F7"/>
    <w:rsid w:val="009C3657"/>
    <w:rsid w:val="009C3686"/>
    <w:rsid w:val="009C4824"/>
    <w:rsid w:val="009C5D39"/>
    <w:rsid w:val="009C6BFD"/>
    <w:rsid w:val="009D0EAB"/>
    <w:rsid w:val="009D1F8D"/>
    <w:rsid w:val="009D2042"/>
    <w:rsid w:val="009D3AC9"/>
    <w:rsid w:val="009D3BED"/>
    <w:rsid w:val="009D431D"/>
    <w:rsid w:val="009D5847"/>
    <w:rsid w:val="009D5C23"/>
    <w:rsid w:val="009D690D"/>
    <w:rsid w:val="009D6FBE"/>
    <w:rsid w:val="009D7841"/>
    <w:rsid w:val="009D78C7"/>
    <w:rsid w:val="009E24F1"/>
    <w:rsid w:val="009E40A1"/>
    <w:rsid w:val="009E4EB2"/>
    <w:rsid w:val="009E594C"/>
    <w:rsid w:val="009E6011"/>
    <w:rsid w:val="009E6B31"/>
    <w:rsid w:val="009F1830"/>
    <w:rsid w:val="009F2B14"/>
    <w:rsid w:val="009F3D33"/>
    <w:rsid w:val="009F47BC"/>
    <w:rsid w:val="009F5E6D"/>
    <w:rsid w:val="009F6444"/>
    <w:rsid w:val="009F6B73"/>
    <w:rsid w:val="009F7487"/>
    <w:rsid w:val="009F7CDF"/>
    <w:rsid w:val="009F7F5E"/>
    <w:rsid w:val="00A0080A"/>
    <w:rsid w:val="00A02A44"/>
    <w:rsid w:val="00A037DF"/>
    <w:rsid w:val="00A048ED"/>
    <w:rsid w:val="00A05C9D"/>
    <w:rsid w:val="00A05EB2"/>
    <w:rsid w:val="00A07E5F"/>
    <w:rsid w:val="00A10461"/>
    <w:rsid w:val="00A10668"/>
    <w:rsid w:val="00A10930"/>
    <w:rsid w:val="00A110A1"/>
    <w:rsid w:val="00A11698"/>
    <w:rsid w:val="00A129AD"/>
    <w:rsid w:val="00A13785"/>
    <w:rsid w:val="00A13FAE"/>
    <w:rsid w:val="00A14894"/>
    <w:rsid w:val="00A14EE3"/>
    <w:rsid w:val="00A1647F"/>
    <w:rsid w:val="00A17454"/>
    <w:rsid w:val="00A17724"/>
    <w:rsid w:val="00A217D3"/>
    <w:rsid w:val="00A236FC"/>
    <w:rsid w:val="00A24902"/>
    <w:rsid w:val="00A25232"/>
    <w:rsid w:val="00A25EB2"/>
    <w:rsid w:val="00A268C2"/>
    <w:rsid w:val="00A27272"/>
    <w:rsid w:val="00A30030"/>
    <w:rsid w:val="00A303F9"/>
    <w:rsid w:val="00A30601"/>
    <w:rsid w:val="00A30E26"/>
    <w:rsid w:val="00A32451"/>
    <w:rsid w:val="00A33BC4"/>
    <w:rsid w:val="00A3523E"/>
    <w:rsid w:val="00A35F8B"/>
    <w:rsid w:val="00A3695C"/>
    <w:rsid w:val="00A36A9D"/>
    <w:rsid w:val="00A37794"/>
    <w:rsid w:val="00A37CD2"/>
    <w:rsid w:val="00A41224"/>
    <w:rsid w:val="00A4126C"/>
    <w:rsid w:val="00A4288B"/>
    <w:rsid w:val="00A4353C"/>
    <w:rsid w:val="00A45223"/>
    <w:rsid w:val="00A452D1"/>
    <w:rsid w:val="00A46E05"/>
    <w:rsid w:val="00A504CE"/>
    <w:rsid w:val="00A516D1"/>
    <w:rsid w:val="00A516F3"/>
    <w:rsid w:val="00A5290F"/>
    <w:rsid w:val="00A52B62"/>
    <w:rsid w:val="00A5382A"/>
    <w:rsid w:val="00A53E87"/>
    <w:rsid w:val="00A54001"/>
    <w:rsid w:val="00A55A32"/>
    <w:rsid w:val="00A56EE3"/>
    <w:rsid w:val="00A572DD"/>
    <w:rsid w:val="00A607BB"/>
    <w:rsid w:val="00A60903"/>
    <w:rsid w:val="00A624A1"/>
    <w:rsid w:val="00A64A0A"/>
    <w:rsid w:val="00A65247"/>
    <w:rsid w:val="00A6658D"/>
    <w:rsid w:val="00A665FC"/>
    <w:rsid w:val="00A66C73"/>
    <w:rsid w:val="00A67DD2"/>
    <w:rsid w:val="00A72FAA"/>
    <w:rsid w:val="00A73913"/>
    <w:rsid w:val="00A74D97"/>
    <w:rsid w:val="00A7721D"/>
    <w:rsid w:val="00A7773B"/>
    <w:rsid w:val="00A822C5"/>
    <w:rsid w:val="00A828B7"/>
    <w:rsid w:val="00A83143"/>
    <w:rsid w:val="00A83859"/>
    <w:rsid w:val="00A84176"/>
    <w:rsid w:val="00A84674"/>
    <w:rsid w:val="00A85417"/>
    <w:rsid w:val="00A86125"/>
    <w:rsid w:val="00A86909"/>
    <w:rsid w:val="00A8799C"/>
    <w:rsid w:val="00A9182F"/>
    <w:rsid w:val="00A91837"/>
    <w:rsid w:val="00A93F08"/>
    <w:rsid w:val="00A94193"/>
    <w:rsid w:val="00A950F7"/>
    <w:rsid w:val="00A97165"/>
    <w:rsid w:val="00AA0513"/>
    <w:rsid w:val="00AA3A32"/>
    <w:rsid w:val="00AA458F"/>
    <w:rsid w:val="00AA46C1"/>
    <w:rsid w:val="00AA4B02"/>
    <w:rsid w:val="00AA5FBF"/>
    <w:rsid w:val="00AA636D"/>
    <w:rsid w:val="00AA7B4F"/>
    <w:rsid w:val="00AA7E56"/>
    <w:rsid w:val="00AB0403"/>
    <w:rsid w:val="00AB0440"/>
    <w:rsid w:val="00AB21C9"/>
    <w:rsid w:val="00AB3732"/>
    <w:rsid w:val="00AB381C"/>
    <w:rsid w:val="00AB38EE"/>
    <w:rsid w:val="00AB3D6E"/>
    <w:rsid w:val="00AB61B5"/>
    <w:rsid w:val="00AB7DD5"/>
    <w:rsid w:val="00AC002A"/>
    <w:rsid w:val="00AC0ED6"/>
    <w:rsid w:val="00AC17DC"/>
    <w:rsid w:val="00AC2CFF"/>
    <w:rsid w:val="00AC3B06"/>
    <w:rsid w:val="00AC4307"/>
    <w:rsid w:val="00AC6128"/>
    <w:rsid w:val="00AC6DC4"/>
    <w:rsid w:val="00AC72B3"/>
    <w:rsid w:val="00AD101A"/>
    <w:rsid w:val="00AD1E23"/>
    <w:rsid w:val="00AD22E5"/>
    <w:rsid w:val="00AD23EB"/>
    <w:rsid w:val="00AD29EA"/>
    <w:rsid w:val="00AD2B8C"/>
    <w:rsid w:val="00AD5EE6"/>
    <w:rsid w:val="00AD5F3E"/>
    <w:rsid w:val="00AD67E9"/>
    <w:rsid w:val="00AD6E2E"/>
    <w:rsid w:val="00AE0CEA"/>
    <w:rsid w:val="00AE1FAD"/>
    <w:rsid w:val="00AE21BC"/>
    <w:rsid w:val="00AE24E6"/>
    <w:rsid w:val="00AE25BC"/>
    <w:rsid w:val="00AE28AE"/>
    <w:rsid w:val="00AE30EA"/>
    <w:rsid w:val="00AE4CA4"/>
    <w:rsid w:val="00AE4F15"/>
    <w:rsid w:val="00AE5DEF"/>
    <w:rsid w:val="00AE6B74"/>
    <w:rsid w:val="00AE6BB4"/>
    <w:rsid w:val="00AF024A"/>
    <w:rsid w:val="00AF1870"/>
    <w:rsid w:val="00AF194C"/>
    <w:rsid w:val="00AF6B63"/>
    <w:rsid w:val="00AF6C76"/>
    <w:rsid w:val="00AF7DFD"/>
    <w:rsid w:val="00B00824"/>
    <w:rsid w:val="00B01060"/>
    <w:rsid w:val="00B02BCC"/>
    <w:rsid w:val="00B02F7B"/>
    <w:rsid w:val="00B03855"/>
    <w:rsid w:val="00B0428B"/>
    <w:rsid w:val="00B05EA4"/>
    <w:rsid w:val="00B063C5"/>
    <w:rsid w:val="00B108F8"/>
    <w:rsid w:val="00B11361"/>
    <w:rsid w:val="00B11A86"/>
    <w:rsid w:val="00B12247"/>
    <w:rsid w:val="00B125ED"/>
    <w:rsid w:val="00B13128"/>
    <w:rsid w:val="00B139A0"/>
    <w:rsid w:val="00B13A62"/>
    <w:rsid w:val="00B14D6A"/>
    <w:rsid w:val="00B14D97"/>
    <w:rsid w:val="00B15B02"/>
    <w:rsid w:val="00B16E89"/>
    <w:rsid w:val="00B17E74"/>
    <w:rsid w:val="00B20690"/>
    <w:rsid w:val="00B22393"/>
    <w:rsid w:val="00B24C66"/>
    <w:rsid w:val="00B25479"/>
    <w:rsid w:val="00B26138"/>
    <w:rsid w:val="00B266AB"/>
    <w:rsid w:val="00B3185D"/>
    <w:rsid w:val="00B31C04"/>
    <w:rsid w:val="00B335BF"/>
    <w:rsid w:val="00B335CD"/>
    <w:rsid w:val="00B33C7A"/>
    <w:rsid w:val="00B3614D"/>
    <w:rsid w:val="00B3691E"/>
    <w:rsid w:val="00B369B9"/>
    <w:rsid w:val="00B36AE1"/>
    <w:rsid w:val="00B37508"/>
    <w:rsid w:val="00B4008A"/>
    <w:rsid w:val="00B4362B"/>
    <w:rsid w:val="00B44012"/>
    <w:rsid w:val="00B50328"/>
    <w:rsid w:val="00B55D1B"/>
    <w:rsid w:val="00B6184E"/>
    <w:rsid w:val="00B62BB8"/>
    <w:rsid w:val="00B62CF9"/>
    <w:rsid w:val="00B64BDD"/>
    <w:rsid w:val="00B64EBC"/>
    <w:rsid w:val="00B67E07"/>
    <w:rsid w:val="00B70482"/>
    <w:rsid w:val="00B70512"/>
    <w:rsid w:val="00B72E10"/>
    <w:rsid w:val="00B73C9D"/>
    <w:rsid w:val="00B7483C"/>
    <w:rsid w:val="00B752CA"/>
    <w:rsid w:val="00B752CD"/>
    <w:rsid w:val="00B755F1"/>
    <w:rsid w:val="00B75C34"/>
    <w:rsid w:val="00B76183"/>
    <w:rsid w:val="00B7758D"/>
    <w:rsid w:val="00B77BD3"/>
    <w:rsid w:val="00B77D51"/>
    <w:rsid w:val="00B8091A"/>
    <w:rsid w:val="00B813E3"/>
    <w:rsid w:val="00B822C4"/>
    <w:rsid w:val="00B836AB"/>
    <w:rsid w:val="00B83C94"/>
    <w:rsid w:val="00B84D2B"/>
    <w:rsid w:val="00B87FD3"/>
    <w:rsid w:val="00B91CC3"/>
    <w:rsid w:val="00B938AA"/>
    <w:rsid w:val="00B93A8A"/>
    <w:rsid w:val="00BA1235"/>
    <w:rsid w:val="00BA2D01"/>
    <w:rsid w:val="00BA37F7"/>
    <w:rsid w:val="00BA4EE7"/>
    <w:rsid w:val="00BA54A7"/>
    <w:rsid w:val="00BA63F1"/>
    <w:rsid w:val="00BA6A40"/>
    <w:rsid w:val="00BA78D1"/>
    <w:rsid w:val="00BA7C06"/>
    <w:rsid w:val="00BB1221"/>
    <w:rsid w:val="00BB2E1C"/>
    <w:rsid w:val="00BB30BD"/>
    <w:rsid w:val="00BB32D3"/>
    <w:rsid w:val="00BB3A03"/>
    <w:rsid w:val="00BB40CA"/>
    <w:rsid w:val="00BB4C46"/>
    <w:rsid w:val="00BB4EEC"/>
    <w:rsid w:val="00BB55C5"/>
    <w:rsid w:val="00BB6AE8"/>
    <w:rsid w:val="00BB6E78"/>
    <w:rsid w:val="00BB729E"/>
    <w:rsid w:val="00BC042C"/>
    <w:rsid w:val="00BC0C80"/>
    <w:rsid w:val="00BC2127"/>
    <w:rsid w:val="00BC2910"/>
    <w:rsid w:val="00BC3E8E"/>
    <w:rsid w:val="00BC435E"/>
    <w:rsid w:val="00BC4968"/>
    <w:rsid w:val="00BC5504"/>
    <w:rsid w:val="00BC58F5"/>
    <w:rsid w:val="00BC6916"/>
    <w:rsid w:val="00BD03B7"/>
    <w:rsid w:val="00BD11E9"/>
    <w:rsid w:val="00BD1CDE"/>
    <w:rsid w:val="00BD55D1"/>
    <w:rsid w:val="00BD6370"/>
    <w:rsid w:val="00BD67E6"/>
    <w:rsid w:val="00BD7E4E"/>
    <w:rsid w:val="00BD7F0B"/>
    <w:rsid w:val="00BE0328"/>
    <w:rsid w:val="00BE167C"/>
    <w:rsid w:val="00BE1D54"/>
    <w:rsid w:val="00BE215E"/>
    <w:rsid w:val="00BE3F0D"/>
    <w:rsid w:val="00BE413F"/>
    <w:rsid w:val="00BE5478"/>
    <w:rsid w:val="00BE5C97"/>
    <w:rsid w:val="00BE5E0A"/>
    <w:rsid w:val="00BE647C"/>
    <w:rsid w:val="00BE660F"/>
    <w:rsid w:val="00BE745D"/>
    <w:rsid w:val="00BF0735"/>
    <w:rsid w:val="00BF2E58"/>
    <w:rsid w:val="00BF3924"/>
    <w:rsid w:val="00BF3DFA"/>
    <w:rsid w:val="00BF4648"/>
    <w:rsid w:val="00BF470D"/>
    <w:rsid w:val="00BF5E86"/>
    <w:rsid w:val="00BF7F42"/>
    <w:rsid w:val="00C00A9B"/>
    <w:rsid w:val="00C025D7"/>
    <w:rsid w:val="00C02880"/>
    <w:rsid w:val="00C0396B"/>
    <w:rsid w:val="00C03EA2"/>
    <w:rsid w:val="00C04072"/>
    <w:rsid w:val="00C0569B"/>
    <w:rsid w:val="00C06CB4"/>
    <w:rsid w:val="00C07075"/>
    <w:rsid w:val="00C072F8"/>
    <w:rsid w:val="00C07300"/>
    <w:rsid w:val="00C1116D"/>
    <w:rsid w:val="00C11AF2"/>
    <w:rsid w:val="00C11CFB"/>
    <w:rsid w:val="00C11D11"/>
    <w:rsid w:val="00C15894"/>
    <w:rsid w:val="00C15E3E"/>
    <w:rsid w:val="00C162FB"/>
    <w:rsid w:val="00C173DB"/>
    <w:rsid w:val="00C20281"/>
    <w:rsid w:val="00C21933"/>
    <w:rsid w:val="00C21DA0"/>
    <w:rsid w:val="00C26FBC"/>
    <w:rsid w:val="00C26FBE"/>
    <w:rsid w:val="00C26FEE"/>
    <w:rsid w:val="00C337C3"/>
    <w:rsid w:val="00C33A2E"/>
    <w:rsid w:val="00C33CDD"/>
    <w:rsid w:val="00C35BBC"/>
    <w:rsid w:val="00C440D6"/>
    <w:rsid w:val="00C44A43"/>
    <w:rsid w:val="00C46626"/>
    <w:rsid w:val="00C46EB0"/>
    <w:rsid w:val="00C46F2D"/>
    <w:rsid w:val="00C47B9A"/>
    <w:rsid w:val="00C51644"/>
    <w:rsid w:val="00C53250"/>
    <w:rsid w:val="00C539A9"/>
    <w:rsid w:val="00C53B53"/>
    <w:rsid w:val="00C54ABF"/>
    <w:rsid w:val="00C5579A"/>
    <w:rsid w:val="00C569C8"/>
    <w:rsid w:val="00C60482"/>
    <w:rsid w:val="00C60B99"/>
    <w:rsid w:val="00C61C69"/>
    <w:rsid w:val="00C628B7"/>
    <w:rsid w:val="00C6316C"/>
    <w:rsid w:val="00C6449F"/>
    <w:rsid w:val="00C6570C"/>
    <w:rsid w:val="00C67B97"/>
    <w:rsid w:val="00C70592"/>
    <w:rsid w:val="00C70B96"/>
    <w:rsid w:val="00C71CBF"/>
    <w:rsid w:val="00C7268E"/>
    <w:rsid w:val="00C72ECF"/>
    <w:rsid w:val="00C73127"/>
    <w:rsid w:val="00C731B5"/>
    <w:rsid w:val="00C74174"/>
    <w:rsid w:val="00C74ECB"/>
    <w:rsid w:val="00C75D03"/>
    <w:rsid w:val="00C77329"/>
    <w:rsid w:val="00C77350"/>
    <w:rsid w:val="00C77428"/>
    <w:rsid w:val="00C77AE9"/>
    <w:rsid w:val="00C8009A"/>
    <w:rsid w:val="00C82EEE"/>
    <w:rsid w:val="00C83A01"/>
    <w:rsid w:val="00C83F46"/>
    <w:rsid w:val="00C84542"/>
    <w:rsid w:val="00C84A63"/>
    <w:rsid w:val="00C871C8"/>
    <w:rsid w:val="00C87EC4"/>
    <w:rsid w:val="00C9049D"/>
    <w:rsid w:val="00C90AC4"/>
    <w:rsid w:val="00C90D5E"/>
    <w:rsid w:val="00C93110"/>
    <w:rsid w:val="00C93766"/>
    <w:rsid w:val="00C93E67"/>
    <w:rsid w:val="00C946CD"/>
    <w:rsid w:val="00C94F31"/>
    <w:rsid w:val="00C96F18"/>
    <w:rsid w:val="00C97A77"/>
    <w:rsid w:val="00CA051B"/>
    <w:rsid w:val="00CA4525"/>
    <w:rsid w:val="00CA56DB"/>
    <w:rsid w:val="00CA6249"/>
    <w:rsid w:val="00CA6644"/>
    <w:rsid w:val="00CA7DD7"/>
    <w:rsid w:val="00CA7EA4"/>
    <w:rsid w:val="00CB1535"/>
    <w:rsid w:val="00CB2158"/>
    <w:rsid w:val="00CB32F9"/>
    <w:rsid w:val="00CB63E6"/>
    <w:rsid w:val="00CB690E"/>
    <w:rsid w:val="00CB75D6"/>
    <w:rsid w:val="00CB7BB7"/>
    <w:rsid w:val="00CC1757"/>
    <w:rsid w:val="00CC1F13"/>
    <w:rsid w:val="00CC203D"/>
    <w:rsid w:val="00CC41A6"/>
    <w:rsid w:val="00CC6B6F"/>
    <w:rsid w:val="00CC6E35"/>
    <w:rsid w:val="00CC6FB3"/>
    <w:rsid w:val="00CD324E"/>
    <w:rsid w:val="00CD55CA"/>
    <w:rsid w:val="00CD587A"/>
    <w:rsid w:val="00CD637D"/>
    <w:rsid w:val="00CD672F"/>
    <w:rsid w:val="00CD7D85"/>
    <w:rsid w:val="00CD7F7D"/>
    <w:rsid w:val="00CE0E4C"/>
    <w:rsid w:val="00CE2263"/>
    <w:rsid w:val="00CE22D4"/>
    <w:rsid w:val="00CE3E16"/>
    <w:rsid w:val="00CE3E63"/>
    <w:rsid w:val="00CE45E5"/>
    <w:rsid w:val="00CE50B5"/>
    <w:rsid w:val="00CE58C4"/>
    <w:rsid w:val="00CE7DBF"/>
    <w:rsid w:val="00CF02FE"/>
    <w:rsid w:val="00CF06AE"/>
    <w:rsid w:val="00CF11CF"/>
    <w:rsid w:val="00CF1241"/>
    <w:rsid w:val="00CF13D0"/>
    <w:rsid w:val="00CF180A"/>
    <w:rsid w:val="00CF22C8"/>
    <w:rsid w:val="00CF2CCB"/>
    <w:rsid w:val="00CF4CB5"/>
    <w:rsid w:val="00CF5367"/>
    <w:rsid w:val="00CF6A0C"/>
    <w:rsid w:val="00CF7175"/>
    <w:rsid w:val="00D01276"/>
    <w:rsid w:val="00D01911"/>
    <w:rsid w:val="00D01D9E"/>
    <w:rsid w:val="00D024D5"/>
    <w:rsid w:val="00D035A6"/>
    <w:rsid w:val="00D04A91"/>
    <w:rsid w:val="00D0597A"/>
    <w:rsid w:val="00D0599A"/>
    <w:rsid w:val="00D05CEC"/>
    <w:rsid w:val="00D07977"/>
    <w:rsid w:val="00D10214"/>
    <w:rsid w:val="00D11A30"/>
    <w:rsid w:val="00D14B5E"/>
    <w:rsid w:val="00D166E1"/>
    <w:rsid w:val="00D223F3"/>
    <w:rsid w:val="00D22E1A"/>
    <w:rsid w:val="00D24456"/>
    <w:rsid w:val="00D2513B"/>
    <w:rsid w:val="00D271FD"/>
    <w:rsid w:val="00D30EC5"/>
    <w:rsid w:val="00D3109F"/>
    <w:rsid w:val="00D31EA7"/>
    <w:rsid w:val="00D32017"/>
    <w:rsid w:val="00D33332"/>
    <w:rsid w:val="00D336FB"/>
    <w:rsid w:val="00D33CFB"/>
    <w:rsid w:val="00D35045"/>
    <w:rsid w:val="00D35153"/>
    <w:rsid w:val="00D3548A"/>
    <w:rsid w:val="00D3781C"/>
    <w:rsid w:val="00D407FC"/>
    <w:rsid w:val="00D40D6F"/>
    <w:rsid w:val="00D40DF5"/>
    <w:rsid w:val="00D43C73"/>
    <w:rsid w:val="00D44E08"/>
    <w:rsid w:val="00D45FE4"/>
    <w:rsid w:val="00D4797C"/>
    <w:rsid w:val="00D51603"/>
    <w:rsid w:val="00D518C6"/>
    <w:rsid w:val="00D51E8E"/>
    <w:rsid w:val="00D5220C"/>
    <w:rsid w:val="00D53FC5"/>
    <w:rsid w:val="00D55981"/>
    <w:rsid w:val="00D559B9"/>
    <w:rsid w:val="00D55DF8"/>
    <w:rsid w:val="00D55E9D"/>
    <w:rsid w:val="00D56812"/>
    <w:rsid w:val="00D604C7"/>
    <w:rsid w:val="00D60E98"/>
    <w:rsid w:val="00D63C19"/>
    <w:rsid w:val="00D64DC1"/>
    <w:rsid w:val="00D66C1C"/>
    <w:rsid w:val="00D673CD"/>
    <w:rsid w:val="00D67DA1"/>
    <w:rsid w:val="00D70AA6"/>
    <w:rsid w:val="00D7212E"/>
    <w:rsid w:val="00D725A3"/>
    <w:rsid w:val="00D733F8"/>
    <w:rsid w:val="00D73EE6"/>
    <w:rsid w:val="00D74E22"/>
    <w:rsid w:val="00D755C4"/>
    <w:rsid w:val="00D771D9"/>
    <w:rsid w:val="00D77C02"/>
    <w:rsid w:val="00D8119B"/>
    <w:rsid w:val="00D816CE"/>
    <w:rsid w:val="00D81CE0"/>
    <w:rsid w:val="00D81F2D"/>
    <w:rsid w:val="00D8434B"/>
    <w:rsid w:val="00D84512"/>
    <w:rsid w:val="00D84C7D"/>
    <w:rsid w:val="00D866AA"/>
    <w:rsid w:val="00D87F16"/>
    <w:rsid w:val="00D91092"/>
    <w:rsid w:val="00D9330B"/>
    <w:rsid w:val="00D93EDA"/>
    <w:rsid w:val="00D94F51"/>
    <w:rsid w:val="00D95435"/>
    <w:rsid w:val="00D9744D"/>
    <w:rsid w:val="00DA17B9"/>
    <w:rsid w:val="00DA1A6E"/>
    <w:rsid w:val="00DA2055"/>
    <w:rsid w:val="00DA296E"/>
    <w:rsid w:val="00DA3B09"/>
    <w:rsid w:val="00DA4770"/>
    <w:rsid w:val="00DA493D"/>
    <w:rsid w:val="00DA5004"/>
    <w:rsid w:val="00DA609D"/>
    <w:rsid w:val="00DA68C2"/>
    <w:rsid w:val="00DA6F4D"/>
    <w:rsid w:val="00DA736B"/>
    <w:rsid w:val="00DA7422"/>
    <w:rsid w:val="00DA7E9C"/>
    <w:rsid w:val="00DB0BEB"/>
    <w:rsid w:val="00DB105F"/>
    <w:rsid w:val="00DB31BA"/>
    <w:rsid w:val="00DB5D88"/>
    <w:rsid w:val="00DB7F59"/>
    <w:rsid w:val="00DC0CD8"/>
    <w:rsid w:val="00DC21E8"/>
    <w:rsid w:val="00DC237D"/>
    <w:rsid w:val="00DC27A8"/>
    <w:rsid w:val="00DC392A"/>
    <w:rsid w:val="00DC462A"/>
    <w:rsid w:val="00DC669F"/>
    <w:rsid w:val="00DC79FA"/>
    <w:rsid w:val="00DC7F96"/>
    <w:rsid w:val="00DD04E0"/>
    <w:rsid w:val="00DD0B07"/>
    <w:rsid w:val="00DD0E01"/>
    <w:rsid w:val="00DD209B"/>
    <w:rsid w:val="00DD25E7"/>
    <w:rsid w:val="00DD2BBB"/>
    <w:rsid w:val="00DD2D1C"/>
    <w:rsid w:val="00DD40C1"/>
    <w:rsid w:val="00DD509C"/>
    <w:rsid w:val="00DD5F47"/>
    <w:rsid w:val="00DD65D5"/>
    <w:rsid w:val="00DD7EB1"/>
    <w:rsid w:val="00DE291E"/>
    <w:rsid w:val="00DE2B6D"/>
    <w:rsid w:val="00DE581F"/>
    <w:rsid w:val="00DE58A0"/>
    <w:rsid w:val="00DE5F52"/>
    <w:rsid w:val="00DF0F6F"/>
    <w:rsid w:val="00DF121D"/>
    <w:rsid w:val="00DF1518"/>
    <w:rsid w:val="00DF1612"/>
    <w:rsid w:val="00DF1D24"/>
    <w:rsid w:val="00DF6C39"/>
    <w:rsid w:val="00E01AC2"/>
    <w:rsid w:val="00E02A09"/>
    <w:rsid w:val="00E02C52"/>
    <w:rsid w:val="00E0399A"/>
    <w:rsid w:val="00E03B29"/>
    <w:rsid w:val="00E04BDC"/>
    <w:rsid w:val="00E053E8"/>
    <w:rsid w:val="00E07448"/>
    <w:rsid w:val="00E07585"/>
    <w:rsid w:val="00E0779E"/>
    <w:rsid w:val="00E10F6B"/>
    <w:rsid w:val="00E11A53"/>
    <w:rsid w:val="00E12751"/>
    <w:rsid w:val="00E14845"/>
    <w:rsid w:val="00E16928"/>
    <w:rsid w:val="00E17570"/>
    <w:rsid w:val="00E17D48"/>
    <w:rsid w:val="00E2436C"/>
    <w:rsid w:val="00E266CE"/>
    <w:rsid w:val="00E31A89"/>
    <w:rsid w:val="00E31DC1"/>
    <w:rsid w:val="00E32569"/>
    <w:rsid w:val="00E328C3"/>
    <w:rsid w:val="00E32960"/>
    <w:rsid w:val="00E32FFF"/>
    <w:rsid w:val="00E3368A"/>
    <w:rsid w:val="00E362C1"/>
    <w:rsid w:val="00E3630B"/>
    <w:rsid w:val="00E36AC4"/>
    <w:rsid w:val="00E36DCD"/>
    <w:rsid w:val="00E416AD"/>
    <w:rsid w:val="00E428DF"/>
    <w:rsid w:val="00E42D11"/>
    <w:rsid w:val="00E45A86"/>
    <w:rsid w:val="00E467C3"/>
    <w:rsid w:val="00E4681F"/>
    <w:rsid w:val="00E472B8"/>
    <w:rsid w:val="00E473FA"/>
    <w:rsid w:val="00E47F39"/>
    <w:rsid w:val="00E504CD"/>
    <w:rsid w:val="00E52D2A"/>
    <w:rsid w:val="00E5382E"/>
    <w:rsid w:val="00E53A0E"/>
    <w:rsid w:val="00E53D77"/>
    <w:rsid w:val="00E56C65"/>
    <w:rsid w:val="00E6011A"/>
    <w:rsid w:val="00E639F5"/>
    <w:rsid w:val="00E63D76"/>
    <w:rsid w:val="00E64745"/>
    <w:rsid w:val="00E64C26"/>
    <w:rsid w:val="00E6572E"/>
    <w:rsid w:val="00E66A10"/>
    <w:rsid w:val="00E67F7D"/>
    <w:rsid w:val="00E70106"/>
    <w:rsid w:val="00E70686"/>
    <w:rsid w:val="00E735BE"/>
    <w:rsid w:val="00E743FF"/>
    <w:rsid w:val="00E759CB"/>
    <w:rsid w:val="00E75C77"/>
    <w:rsid w:val="00E76685"/>
    <w:rsid w:val="00E76905"/>
    <w:rsid w:val="00E76AC0"/>
    <w:rsid w:val="00E76E7D"/>
    <w:rsid w:val="00E808E0"/>
    <w:rsid w:val="00E82159"/>
    <w:rsid w:val="00E858B3"/>
    <w:rsid w:val="00E86568"/>
    <w:rsid w:val="00E86C7C"/>
    <w:rsid w:val="00E91ED3"/>
    <w:rsid w:val="00E92F32"/>
    <w:rsid w:val="00E943A1"/>
    <w:rsid w:val="00E94682"/>
    <w:rsid w:val="00E97E98"/>
    <w:rsid w:val="00EA1512"/>
    <w:rsid w:val="00EA47AA"/>
    <w:rsid w:val="00EA5018"/>
    <w:rsid w:val="00EB07EB"/>
    <w:rsid w:val="00EB1545"/>
    <w:rsid w:val="00EB28CA"/>
    <w:rsid w:val="00EB62DE"/>
    <w:rsid w:val="00EB6740"/>
    <w:rsid w:val="00EB7C16"/>
    <w:rsid w:val="00EC1543"/>
    <w:rsid w:val="00EC229D"/>
    <w:rsid w:val="00EC29F8"/>
    <w:rsid w:val="00EC3532"/>
    <w:rsid w:val="00EC4EF0"/>
    <w:rsid w:val="00EC61ED"/>
    <w:rsid w:val="00EC706C"/>
    <w:rsid w:val="00ED230E"/>
    <w:rsid w:val="00ED28B6"/>
    <w:rsid w:val="00ED36A7"/>
    <w:rsid w:val="00ED410E"/>
    <w:rsid w:val="00ED4F7F"/>
    <w:rsid w:val="00ED5112"/>
    <w:rsid w:val="00ED5267"/>
    <w:rsid w:val="00ED5A02"/>
    <w:rsid w:val="00ED5C98"/>
    <w:rsid w:val="00EE1740"/>
    <w:rsid w:val="00EE1AD1"/>
    <w:rsid w:val="00EE53BE"/>
    <w:rsid w:val="00EE59E5"/>
    <w:rsid w:val="00EF033C"/>
    <w:rsid w:val="00EF0764"/>
    <w:rsid w:val="00EF1B78"/>
    <w:rsid w:val="00EF1B7C"/>
    <w:rsid w:val="00EF1D09"/>
    <w:rsid w:val="00EF1DC7"/>
    <w:rsid w:val="00EF2C18"/>
    <w:rsid w:val="00EF4AC9"/>
    <w:rsid w:val="00EF7065"/>
    <w:rsid w:val="00EF78F0"/>
    <w:rsid w:val="00F00FB9"/>
    <w:rsid w:val="00F011E9"/>
    <w:rsid w:val="00F03B53"/>
    <w:rsid w:val="00F054A1"/>
    <w:rsid w:val="00F07208"/>
    <w:rsid w:val="00F0793A"/>
    <w:rsid w:val="00F10A32"/>
    <w:rsid w:val="00F11AF6"/>
    <w:rsid w:val="00F12512"/>
    <w:rsid w:val="00F14823"/>
    <w:rsid w:val="00F1485F"/>
    <w:rsid w:val="00F14DB2"/>
    <w:rsid w:val="00F17ED2"/>
    <w:rsid w:val="00F21425"/>
    <w:rsid w:val="00F23734"/>
    <w:rsid w:val="00F24375"/>
    <w:rsid w:val="00F26913"/>
    <w:rsid w:val="00F32C29"/>
    <w:rsid w:val="00F3366C"/>
    <w:rsid w:val="00F36888"/>
    <w:rsid w:val="00F376A2"/>
    <w:rsid w:val="00F37A11"/>
    <w:rsid w:val="00F4377D"/>
    <w:rsid w:val="00F43F37"/>
    <w:rsid w:val="00F447DA"/>
    <w:rsid w:val="00F4680B"/>
    <w:rsid w:val="00F46DD0"/>
    <w:rsid w:val="00F4718B"/>
    <w:rsid w:val="00F47E3B"/>
    <w:rsid w:val="00F5112D"/>
    <w:rsid w:val="00F54068"/>
    <w:rsid w:val="00F55C61"/>
    <w:rsid w:val="00F63178"/>
    <w:rsid w:val="00F63FC3"/>
    <w:rsid w:val="00F64424"/>
    <w:rsid w:val="00F64CE0"/>
    <w:rsid w:val="00F65DF5"/>
    <w:rsid w:val="00F66AD3"/>
    <w:rsid w:val="00F6782F"/>
    <w:rsid w:val="00F70884"/>
    <w:rsid w:val="00F72718"/>
    <w:rsid w:val="00F735A5"/>
    <w:rsid w:val="00F73ACE"/>
    <w:rsid w:val="00F76917"/>
    <w:rsid w:val="00F76EDE"/>
    <w:rsid w:val="00F80FC4"/>
    <w:rsid w:val="00F82F93"/>
    <w:rsid w:val="00F84DC5"/>
    <w:rsid w:val="00F86BBD"/>
    <w:rsid w:val="00F87C9B"/>
    <w:rsid w:val="00F90F0E"/>
    <w:rsid w:val="00F912B6"/>
    <w:rsid w:val="00F9245F"/>
    <w:rsid w:val="00F93543"/>
    <w:rsid w:val="00F93E98"/>
    <w:rsid w:val="00F94959"/>
    <w:rsid w:val="00F952DA"/>
    <w:rsid w:val="00F95DDA"/>
    <w:rsid w:val="00F96FA3"/>
    <w:rsid w:val="00F97027"/>
    <w:rsid w:val="00F9704A"/>
    <w:rsid w:val="00F97259"/>
    <w:rsid w:val="00FA1938"/>
    <w:rsid w:val="00FA356C"/>
    <w:rsid w:val="00FA44E9"/>
    <w:rsid w:val="00FA4C13"/>
    <w:rsid w:val="00FA4F4A"/>
    <w:rsid w:val="00FA4F81"/>
    <w:rsid w:val="00FA729F"/>
    <w:rsid w:val="00FB0095"/>
    <w:rsid w:val="00FB213B"/>
    <w:rsid w:val="00FB5ABF"/>
    <w:rsid w:val="00FB697E"/>
    <w:rsid w:val="00FC0BB7"/>
    <w:rsid w:val="00FC0F3F"/>
    <w:rsid w:val="00FC2B01"/>
    <w:rsid w:val="00FC3EEC"/>
    <w:rsid w:val="00FC4F3F"/>
    <w:rsid w:val="00FC57C7"/>
    <w:rsid w:val="00FC7BE4"/>
    <w:rsid w:val="00FD0D8E"/>
    <w:rsid w:val="00FD11A7"/>
    <w:rsid w:val="00FD2CF5"/>
    <w:rsid w:val="00FD2DBD"/>
    <w:rsid w:val="00FD4372"/>
    <w:rsid w:val="00FD646C"/>
    <w:rsid w:val="00FE0F28"/>
    <w:rsid w:val="00FE1F39"/>
    <w:rsid w:val="00FE2D3D"/>
    <w:rsid w:val="00FE5F4E"/>
    <w:rsid w:val="00FE6919"/>
    <w:rsid w:val="00FF0853"/>
    <w:rsid w:val="00FF17CD"/>
    <w:rsid w:val="00FF1898"/>
    <w:rsid w:val="00FF1C90"/>
    <w:rsid w:val="00FF3265"/>
    <w:rsid w:val="00FF44AD"/>
    <w:rsid w:val="00FF5658"/>
    <w:rsid w:val="00FF63FA"/>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4576A-98AE-47A7-80CD-324C3361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785"/>
    <w:rPr>
      <w:sz w:val="20"/>
      <w:szCs w:val="20"/>
    </w:rPr>
  </w:style>
  <w:style w:type="character" w:styleId="FootnoteReference">
    <w:name w:val="footnote reference"/>
    <w:basedOn w:val="DefaultParagraphFont"/>
    <w:uiPriority w:val="99"/>
    <w:semiHidden/>
    <w:unhideWhenUsed/>
    <w:rsid w:val="00A13785"/>
    <w:rPr>
      <w:vertAlign w:val="superscript"/>
    </w:rPr>
  </w:style>
  <w:style w:type="character" w:styleId="Hyperlink">
    <w:name w:val="Hyperlink"/>
    <w:basedOn w:val="DefaultParagraphFont"/>
    <w:uiPriority w:val="99"/>
    <w:unhideWhenUsed/>
    <w:rsid w:val="00A13785"/>
    <w:rPr>
      <w:color w:val="0000FF" w:themeColor="hyperlink"/>
      <w:u w:val="single"/>
    </w:rPr>
  </w:style>
  <w:style w:type="character" w:styleId="CommentReference">
    <w:name w:val="annotation reference"/>
    <w:basedOn w:val="DefaultParagraphFont"/>
    <w:uiPriority w:val="99"/>
    <w:semiHidden/>
    <w:unhideWhenUsed/>
    <w:rsid w:val="00D3109F"/>
    <w:rPr>
      <w:sz w:val="16"/>
      <w:szCs w:val="16"/>
    </w:rPr>
  </w:style>
  <w:style w:type="paragraph" w:styleId="CommentText">
    <w:name w:val="annotation text"/>
    <w:basedOn w:val="Normal"/>
    <w:link w:val="CommentTextChar"/>
    <w:uiPriority w:val="99"/>
    <w:semiHidden/>
    <w:unhideWhenUsed/>
    <w:rsid w:val="00D3109F"/>
    <w:pPr>
      <w:spacing w:line="240" w:lineRule="auto"/>
    </w:pPr>
    <w:rPr>
      <w:sz w:val="20"/>
      <w:szCs w:val="20"/>
    </w:rPr>
  </w:style>
  <w:style w:type="character" w:customStyle="1" w:styleId="CommentTextChar">
    <w:name w:val="Comment Text Char"/>
    <w:basedOn w:val="DefaultParagraphFont"/>
    <w:link w:val="CommentText"/>
    <w:uiPriority w:val="99"/>
    <w:semiHidden/>
    <w:rsid w:val="00D3109F"/>
    <w:rPr>
      <w:sz w:val="20"/>
      <w:szCs w:val="20"/>
    </w:rPr>
  </w:style>
  <w:style w:type="paragraph" w:styleId="CommentSubject">
    <w:name w:val="annotation subject"/>
    <w:basedOn w:val="CommentText"/>
    <w:next w:val="CommentText"/>
    <w:link w:val="CommentSubjectChar"/>
    <w:uiPriority w:val="99"/>
    <w:semiHidden/>
    <w:unhideWhenUsed/>
    <w:rsid w:val="00D3109F"/>
    <w:rPr>
      <w:b/>
      <w:bCs/>
    </w:rPr>
  </w:style>
  <w:style w:type="character" w:customStyle="1" w:styleId="CommentSubjectChar">
    <w:name w:val="Comment Subject Char"/>
    <w:basedOn w:val="CommentTextChar"/>
    <w:link w:val="CommentSubject"/>
    <w:uiPriority w:val="99"/>
    <w:semiHidden/>
    <w:rsid w:val="00D3109F"/>
    <w:rPr>
      <w:b/>
      <w:bCs/>
      <w:sz w:val="20"/>
      <w:szCs w:val="20"/>
    </w:rPr>
  </w:style>
  <w:style w:type="paragraph" w:styleId="BalloonText">
    <w:name w:val="Balloon Text"/>
    <w:basedOn w:val="Normal"/>
    <w:link w:val="BalloonTextChar"/>
    <w:uiPriority w:val="99"/>
    <w:semiHidden/>
    <w:unhideWhenUsed/>
    <w:rsid w:val="00D3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9F"/>
    <w:rPr>
      <w:rFonts w:ascii="Segoe UI" w:hAnsi="Segoe UI" w:cs="Segoe UI"/>
      <w:sz w:val="18"/>
      <w:szCs w:val="18"/>
    </w:rPr>
  </w:style>
  <w:style w:type="paragraph" w:styleId="Header">
    <w:name w:val="header"/>
    <w:basedOn w:val="Normal"/>
    <w:link w:val="HeaderChar"/>
    <w:uiPriority w:val="99"/>
    <w:unhideWhenUsed/>
    <w:rsid w:val="0092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FC"/>
  </w:style>
  <w:style w:type="paragraph" w:styleId="Footer">
    <w:name w:val="footer"/>
    <w:basedOn w:val="Normal"/>
    <w:link w:val="FooterChar"/>
    <w:uiPriority w:val="99"/>
    <w:unhideWhenUsed/>
    <w:rsid w:val="0092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FC"/>
  </w:style>
  <w:style w:type="character" w:customStyle="1" w:styleId="a-size-large1">
    <w:name w:val="a-size-large1"/>
    <w:basedOn w:val="DefaultParagraphFont"/>
    <w:rsid w:val="00B31C04"/>
    <w:rPr>
      <w:rFonts w:ascii="Arial" w:hAnsi="Arial" w:cs="Arial" w:hint="default"/>
    </w:rPr>
  </w:style>
  <w:style w:type="paragraph" w:styleId="ListParagraph">
    <w:name w:val="List Paragraph"/>
    <w:basedOn w:val="Normal"/>
    <w:uiPriority w:val="34"/>
    <w:qFormat/>
    <w:rsid w:val="008B7C9A"/>
    <w:pPr>
      <w:ind w:left="720"/>
      <w:contextualSpacing/>
    </w:pPr>
  </w:style>
  <w:style w:type="table" w:styleId="TableGrid">
    <w:name w:val="Table Grid"/>
    <w:basedOn w:val="TableNormal"/>
    <w:uiPriority w:val="59"/>
    <w:rsid w:val="00C4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1720">
      <w:bodyDiv w:val="1"/>
      <w:marLeft w:val="0"/>
      <w:marRight w:val="0"/>
      <w:marTop w:val="0"/>
      <w:marBottom w:val="0"/>
      <w:divBdr>
        <w:top w:val="none" w:sz="0" w:space="0" w:color="auto"/>
        <w:left w:val="none" w:sz="0" w:space="0" w:color="auto"/>
        <w:bottom w:val="none" w:sz="0" w:space="0" w:color="auto"/>
        <w:right w:val="none" w:sz="0" w:space="0" w:color="auto"/>
      </w:divBdr>
      <w:divsChild>
        <w:div w:id="550578860">
          <w:marLeft w:val="0"/>
          <w:marRight w:val="0"/>
          <w:marTop w:val="0"/>
          <w:marBottom w:val="0"/>
          <w:divBdr>
            <w:top w:val="none" w:sz="0" w:space="0" w:color="auto"/>
            <w:left w:val="none" w:sz="0" w:space="0" w:color="auto"/>
            <w:bottom w:val="none" w:sz="0" w:space="0" w:color="auto"/>
            <w:right w:val="none" w:sz="0" w:space="0" w:color="auto"/>
          </w:divBdr>
          <w:divsChild>
            <w:div w:id="1388527735">
              <w:marLeft w:val="0"/>
              <w:marRight w:val="0"/>
              <w:marTop w:val="0"/>
              <w:marBottom w:val="0"/>
              <w:divBdr>
                <w:top w:val="none" w:sz="0" w:space="0" w:color="auto"/>
                <w:left w:val="none" w:sz="0" w:space="0" w:color="auto"/>
                <w:bottom w:val="none" w:sz="0" w:space="0" w:color="auto"/>
                <w:right w:val="none" w:sz="0" w:space="0" w:color="auto"/>
              </w:divBdr>
              <w:divsChild>
                <w:div w:id="340472307">
                  <w:marLeft w:val="0"/>
                  <w:marRight w:val="0"/>
                  <w:marTop w:val="0"/>
                  <w:marBottom w:val="0"/>
                  <w:divBdr>
                    <w:top w:val="none" w:sz="0" w:space="0" w:color="auto"/>
                    <w:left w:val="none" w:sz="0" w:space="0" w:color="auto"/>
                    <w:bottom w:val="none" w:sz="0" w:space="0" w:color="auto"/>
                    <w:right w:val="none" w:sz="0" w:space="0" w:color="auto"/>
                  </w:divBdr>
                  <w:divsChild>
                    <w:div w:id="617374804">
                      <w:marLeft w:val="0"/>
                      <w:marRight w:val="0"/>
                      <w:marTop w:val="0"/>
                      <w:marBottom w:val="0"/>
                      <w:divBdr>
                        <w:top w:val="none" w:sz="0" w:space="0" w:color="auto"/>
                        <w:left w:val="none" w:sz="0" w:space="0" w:color="auto"/>
                        <w:bottom w:val="none" w:sz="0" w:space="0" w:color="auto"/>
                        <w:right w:val="none" w:sz="0" w:space="0" w:color="auto"/>
                      </w:divBdr>
                      <w:divsChild>
                        <w:div w:id="1026056230">
                          <w:marLeft w:val="0"/>
                          <w:marRight w:val="0"/>
                          <w:marTop w:val="0"/>
                          <w:marBottom w:val="0"/>
                          <w:divBdr>
                            <w:top w:val="none" w:sz="0" w:space="0" w:color="auto"/>
                            <w:left w:val="none" w:sz="0" w:space="0" w:color="auto"/>
                            <w:bottom w:val="none" w:sz="0" w:space="0" w:color="auto"/>
                            <w:right w:val="none" w:sz="0" w:space="0" w:color="auto"/>
                          </w:divBdr>
                          <w:divsChild>
                            <w:div w:id="407463808">
                              <w:marLeft w:val="0"/>
                              <w:marRight w:val="0"/>
                              <w:marTop w:val="0"/>
                              <w:marBottom w:val="0"/>
                              <w:divBdr>
                                <w:top w:val="none" w:sz="0" w:space="0" w:color="auto"/>
                                <w:left w:val="none" w:sz="0" w:space="0" w:color="auto"/>
                                <w:bottom w:val="none" w:sz="0" w:space="0" w:color="auto"/>
                                <w:right w:val="none" w:sz="0" w:space="0" w:color="auto"/>
                              </w:divBdr>
                              <w:divsChild>
                                <w:div w:id="528370165">
                                  <w:marLeft w:val="0"/>
                                  <w:marRight w:val="0"/>
                                  <w:marTop w:val="0"/>
                                  <w:marBottom w:val="0"/>
                                  <w:divBdr>
                                    <w:top w:val="none" w:sz="0" w:space="0" w:color="auto"/>
                                    <w:left w:val="none" w:sz="0" w:space="0" w:color="auto"/>
                                    <w:bottom w:val="none" w:sz="0" w:space="0" w:color="auto"/>
                                    <w:right w:val="none" w:sz="0" w:space="0" w:color="auto"/>
                                  </w:divBdr>
                                  <w:divsChild>
                                    <w:div w:id="546380356">
                                      <w:marLeft w:val="0"/>
                                      <w:marRight w:val="0"/>
                                      <w:marTop w:val="0"/>
                                      <w:marBottom w:val="0"/>
                                      <w:divBdr>
                                        <w:top w:val="none" w:sz="0" w:space="0" w:color="auto"/>
                                        <w:left w:val="none" w:sz="0" w:space="0" w:color="auto"/>
                                        <w:bottom w:val="none" w:sz="0" w:space="0" w:color="auto"/>
                                        <w:right w:val="none" w:sz="0" w:space="0" w:color="auto"/>
                                      </w:divBdr>
                                      <w:divsChild>
                                        <w:div w:id="762530792">
                                          <w:marLeft w:val="0"/>
                                          <w:marRight w:val="0"/>
                                          <w:marTop w:val="0"/>
                                          <w:marBottom w:val="75"/>
                                          <w:divBdr>
                                            <w:top w:val="none" w:sz="0" w:space="0" w:color="auto"/>
                                            <w:left w:val="none" w:sz="0" w:space="0" w:color="auto"/>
                                            <w:bottom w:val="none" w:sz="0" w:space="0" w:color="auto"/>
                                            <w:right w:val="none" w:sz="0" w:space="0" w:color="auto"/>
                                          </w:divBdr>
                                          <w:divsChild>
                                            <w:div w:id="322592514">
                                              <w:marLeft w:val="0"/>
                                              <w:marRight w:val="0"/>
                                              <w:marTop w:val="0"/>
                                              <w:marBottom w:val="0"/>
                                              <w:divBdr>
                                                <w:top w:val="none" w:sz="0" w:space="0" w:color="auto"/>
                                                <w:left w:val="none" w:sz="0" w:space="0" w:color="auto"/>
                                                <w:bottom w:val="none" w:sz="0" w:space="0" w:color="auto"/>
                                                <w:right w:val="none" w:sz="0" w:space="0" w:color="auto"/>
                                              </w:divBdr>
                                            </w:div>
                                          </w:divsChild>
                                        </w:div>
                                        <w:div w:id="869293659">
                                          <w:marLeft w:val="0"/>
                                          <w:marRight w:val="0"/>
                                          <w:marTop w:val="0"/>
                                          <w:marBottom w:val="75"/>
                                          <w:divBdr>
                                            <w:top w:val="none" w:sz="0" w:space="0" w:color="auto"/>
                                            <w:left w:val="none" w:sz="0" w:space="0" w:color="auto"/>
                                            <w:bottom w:val="none" w:sz="0" w:space="0" w:color="auto"/>
                                            <w:right w:val="none" w:sz="0" w:space="0" w:color="auto"/>
                                          </w:divBdr>
                                          <w:divsChild>
                                            <w:div w:id="122356928">
                                              <w:marLeft w:val="0"/>
                                              <w:marRight w:val="0"/>
                                              <w:marTop w:val="0"/>
                                              <w:marBottom w:val="0"/>
                                              <w:divBdr>
                                                <w:top w:val="none" w:sz="0" w:space="0" w:color="auto"/>
                                                <w:left w:val="none" w:sz="0" w:space="0" w:color="auto"/>
                                                <w:bottom w:val="none" w:sz="0" w:space="0" w:color="auto"/>
                                                <w:right w:val="none" w:sz="0" w:space="0" w:color="auto"/>
                                              </w:divBdr>
                                              <w:divsChild>
                                                <w:div w:id="492182231">
                                                  <w:marLeft w:val="0"/>
                                                  <w:marRight w:val="0"/>
                                                  <w:marTop w:val="0"/>
                                                  <w:marBottom w:val="0"/>
                                                  <w:divBdr>
                                                    <w:top w:val="none" w:sz="0" w:space="0" w:color="auto"/>
                                                    <w:left w:val="none" w:sz="0" w:space="0" w:color="auto"/>
                                                    <w:bottom w:val="none" w:sz="0" w:space="0" w:color="auto"/>
                                                    <w:right w:val="none" w:sz="0" w:space="0" w:color="auto"/>
                                                  </w:divBdr>
                                                </w:div>
                                                <w:div w:id="691996338">
                                                  <w:marLeft w:val="0"/>
                                                  <w:marRight w:val="0"/>
                                                  <w:marTop w:val="0"/>
                                                  <w:marBottom w:val="0"/>
                                                  <w:divBdr>
                                                    <w:top w:val="none" w:sz="0" w:space="0" w:color="auto"/>
                                                    <w:left w:val="none" w:sz="0" w:space="0" w:color="auto"/>
                                                    <w:bottom w:val="none" w:sz="0" w:space="0" w:color="auto"/>
                                                    <w:right w:val="none" w:sz="0" w:space="0" w:color="auto"/>
                                                  </w:divBdr>
                                                </w:div>
                                                <w:div w:id="18160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1055">
                                          <w:marLeft w:val="0"/>
                                          <w:marRight w:val="0"/>
                                          <w:marTop w:val="0"/>
                                          <w:marBottom w:val="75"/>
                                          <w:divBdr>
                                            <w:top w:val="none" w:sz="0" w:space="0" w:color="auto"/>
                                            <w:left w:val="none" w:sz="0" w:space="0" w:color="auto"/>
                                            <w:bottom w:val="none" w:sz="0" w:space="0" w:color="auto"/>
                                            <w:right w:val="none" w:sz="0" w:space="0" w:color="auto"/>
                                          </w:divBdr>
                                          <w:divsChild>
                                            <w:div w:id="1383478441">
                                              <w:marLeft w:val="0"/>
                                              <w:marRight w:val="0"/>
                                              <w:marTop w:val="0"/>
                                              <w:marBottom w:val="0"/>
                                              <w:divBdr>
                                                <w:top w:val="none" w:sz="0" w:space="0" w:color="auto"/>
                                                <w:left w:val="none" w:sz="0" w:space="0" w:color="auto"/>
                                                <w:bottom w:val="none" w:sz="0" w:space="0" w:color="auto"/>
                                                <w:right w:val="none" w:sz="0" w:space="0" w:color="auto"/>
                                              </w:divBdr>
                                            </w:div>
                                          </w:divsChild>
                                        </w:div>
                                        <w:div w:id="1447624852">
                                          <w:marLeft w:val="0"/>
                                          <w:marRight w:val="0"/>
                                          <w:marTop w:val="0"/>
                                          <w:marBottom w:val="75"/>
                                          <w:divBdr>
                                            <w:top w:val="none" w:sz="0" w:space="0" w:color="auto"/>
                                            <w:left w:val="none" w:sz="0" w:space="0" w:color="auto"/>
                                            <w:bottom w:val="none" w:sz="0" w:space="0" w:color="auto"/>
                                            <w:right w:val="none" w:sz="0" w:space="0" w:color="auto"/>
                                          </w:divBdr>
                                          <w:divsChild>
                                            <w:div w:id="597639478">
                                              <w:marLeft w:val="0"/>
                                              <w:marRight w:val="0"/>
                                              <w:marTop w:val="0"/>
                                              <w:marBottom w:val="0"/>
                                              <w:divBdr>
                                                <w:top w:val="none" w:sz="0" w:space="0" w:color="auto"/>
                                                <w:left w:val="none" w:sz="0" w:space="0" w:color="auto"/>
                                                <w:bottom w:val="none" w:sz="0" w:space="0" w:color="auto"/>
                                                <w:right w:val="none" w:sz="0" w:space="0" w:color="auto"/>
                                              </w:divBdr>
                                              <w:divsChild>
                                                <w:div w:id="14197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079">
                                          <w:marLeft w:val="0"/>
                                          <w:marRight w:val="0"/>
                                          <w:marTop w:val="0"/>
                                          <w:marBottom w:val="75"/>
                                          <w:divBdr>
                                            <w:top w:val="none" w:sz="0" w:space="0" w:color="auto"/>
                                            <w:left w:val="none" w:sz="0" w:space="0" w:color="auto"/>
                                            <w:bottom w:val="none" w:sz="0" w:space="0" w:color="auto"/>
                                            <w:right w:val="none" w:sz="0" w:space="0" w:color="auto"/>
                                          </w:divBdr>
                                          <w:divsChild>
                                            <w:div w:id="3394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 w:id="10024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1500">
      <w:bodyDiv w:val="1"/>
      <w:marLeft w:val="0"/>
      <w:marRight w:val="0"/>
      <w:marTop w:val="0"/>
      <w:marBottom w:val="0"/>
      <w:divBdr>
        <w:top w:val="none" w:sz="0" w:space="0" w:color="auto"/>
        <w:left w:val="none" w:sz="0" w:space="0" w:color="auto"/>
        <w:bottom w:val="none" w:sz="0" w:space="0" w:color="auto"/>
        <w:right w:val="none" w:sz="0" w:space="0" w:color="auto"/>
      </w:divBdr>
      <w:divsChild>
        <w:div w:id="103119070">
          <w:marLeft w:val="0"/>
          <w:marRight w:val="0"/>
          <w:marTop w:val="0"/>
          <w:marBottom w:val="0"/>
          <w:divBdr>
            <w:top w:val="none" w:sz="0" w:space="0" w:color="auto"/>
            <w:left w:val="none" w:sz="0" w:space="0" w:color="auto"/>
            <w:bottom w:val="none" w:sz="0" w:space="0" w:color="auto"/>
            <w:right w:val="none" w:sz="0" w:space="0" w:color="auto"/>
          </w:divBdr>
          <w:divsChild>
            <w:div w:id="19493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985">
      <w:bodyDiv w:val="1"/>
      <w:marLeft w:val="0"/>
      <w:marRight w:val="0"/>
      <w:marTop w:val="0"/>
      <w:marBottom w:val="0"/>
      <w:divBdr>
        <w:top w:val="none" w:sz="0" w:space="0" w:color="auto"/>
        <w:left w:val="none" w:sz="0" w:space="0" w:color="auto"/>
        <w:bottom w:val="none" w:sz="0" w:space="0" w:color="auto"/>
        <w:right w:val="none" w:sz="0" w:space="0" w:color="auto"/>
      </w:divBdr>
      <w:divsChild>
        <w:div w:id="1355839056">
          <w:marLeft w:val="0"/>
          <w:marRight w:val="0"/>
          <w:marTop w:val="0"/>
          <w:marBottom w:val="0"/>
          <w:divBdr>
            <w:top w:val="none" w:sz="0" w:space="0" w:color="auto"/>
            <w:left w:val="none" w:sz="0" w:space="0" w:color="auto"/>
            <w:bottom w:val="none" w:sz="0" w:space="0" w:color="auto"/>
            <w:right w:val="none" w:sz="0" w:space="0" w:color="auto"/>
          </w:divBdr>
          <w:divsChild>
            <w:div w:id="865142583">
              <w:marLeft w:val="0"/>
              <w:marRight w:val="0"/>
              <w:marTop w:val="0"/>
              <w:marBottom w:val="0"/>
              <w:divBdr>
                <w:top w:val="none" w:sz="0" w:space="0" w:color="auto"/>
                <w:left w:val="none" w:sz="0" w:space="0" w:color="auto"/>
                <w:bottom w:val="none" w:sz="0" w:space="0" w:color="auto"/>
                <w:right w:val="none" w:sz="0" w:space="0" w:color="auto"/>
              </w:divBdr>
              <w:divsChild>
                <w:div w:id="220024682">
                  <w:marLeft w:val="0"/>
                  <w:marRight w:val="0"/>
                  <w:marTop w:val="150"/>
                  <w:marBottom w:val="150"/>
                  <w:divBdr>
                    <w:top w:val="none" w:sz="0" w:space="0" w:color="auto"/>
                    <w:left w:val="none" w:sz="0" w:space="0" w:color="auto"/>
                    <w:bottom w:val="none" w:sz="0" w:space="0" w:color="auto"/>
                    <w:right w:val="none" w:sz="0" w:space="0" w:color="auto"/>
                  </w:divBdr>
                  <w:divsChild>
                    <w:div w:id="1586918047">
                      <w:marLeft w:val="0"/>
                      <w:marRight w:val="0"/>
                      <w:marTop w:val="0"/>
                      <w:marBottom w:val="0"/>
                      <w:divBdr>
                        <w:top w:val="none" w:sz="0" w:space="0" w:color="auto"/>
                        <w:left w:val="none" w:sz="0" w:space="0" w:color="auto"/>
                        <w:bottom w:val="none" w:sz="0" w:space="0" w:color="auto"/>
                        <w:right w:val="none" w:sz="0" w:space="0" w:color="auto"/>
                      </w:divBdr>
                      <w:divsChild>
                        <w:div w:id="1640962592">
                          <w:marLeft w:val="0"/>
                          <w:marRight w:val="2"/>
                          <w:marTop w:val="0"/>
                          <w:marBottom w:val="0"/>
                          <w:divBdr>
                            <w:top w:val="none" w:sz="0" w:space="0" w:color="auto"/>
                            <w:left w:val="none" w:sz="0" w:space="0" w:color="auto"/>
                            <w:bottom w:val="none" w:sz="0" w:space="0" w:color="auto"/>
                            <w:right w:val="none" w:sz="0" w:space="0" w:color="auto"/>
                          </w:divBdr>
                          <w:divsChild>
                            <w:div w:id="248734379">
                              <w:marLeft w:val="0"/>
                              <w:marRight w:val="0"/>
                              <w:marTop w:val="0"/>
                              <w:marBottom w:val="0"/>
                              <w:divBdr>
                                <w:top w:val="none" w:sz="0" w:space="0" w:color="auto"/>
                                <w:left w:val="none" w:sz="0" w:space="0" w:color="auto"/>
                                <w:bottom w:val="none" w:sz="0" w:space="0" w:color="auto"/>
                                <w:right w:val="none" w:sz="0" w:space="0" w:color="auto"/>
                              </w:divBdr>
                              <w:divsChild>
                                <w:div w:id="2461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8133">
                      <w:marLeft w:val="0"/>
                      <w:marRight w:val="0"/>
                      <w:marTop w:val="225"/>
                      <w:marBottom w:val="0"/>
                      <w:divBdr>
                        <w:top w:val="none" w:sz="0" w:space="0" w:color="auto"/>
                        <w:left w:val="none" w:sz="0" w:space="0" w:color="auto"/>
                        <w:bottom w:val="none" w:sz="0" w:space="0" w:color="auto"/>
                        <w:right w:val="none" w:sz="0" w:space="0" w:color="auto"/>
                      </w:divBdr>
                      <w:divsChild>
                        <w:div w:id="1701663240">
                          <w:marLeft w:val="0"/>
                          <w:marRight w:val="2"/>
                          <w:marTop w:val="0"/>
                          <w:marBottom w:val="0"/>
                          <w:divBdr>
                            <w:top w:val="none" w:sz="0" w:space="0" w:color="auto"/>
                            <w:left w:val="none" w:sz="0" w:space="0" w:color="auto"/>
                            <w:bottom w:val="none" w:sz="0" w:space="0" w:color="auto"/>
                            <w:right w:val="none" w:sz="0" w:space="0" w:color="auto"/>
                          </w:divBdr>
                        </w:div>
                        <w:div w:id="7701274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91553291">
                  <w:marLeft w:val="0"/>
                  <w:marRight w:val="0"/>
                  <w:marTop w:val="0"/>
                  <w:marBottom w:val="0"/>
                  <w:divBdr>
                    <w:top w:val="none" w:sz="0" w:space="0" w:color="auto"/>
                    <w:left w:val="none" w:sz="0" w:space="0" w:color="auto"/>
                    <w:bottom w:val="none" w:sz="0" w:space="0" w:color="auto"/>
                    <w:right w:val="none" w:sz="0" w:space="0" w:color="auto"/>
                  </w:divBdr>
                  <w:divsChild>
                    <w:div w:id="794324742">
                      <w:marLeft w:val="0"/>
                      <w:marRight w:val="2"/>
                      <w:marTop w:val="0"/>
                      <w:marBottom w:val="0"/>
                      <w:divBdr>
                        <w:top w:val="none" w:sz="0" w:space="0" w:color="auto"/>
                        <w:left w:val="none" w:sz="0" w:space="0" w:color="auto"/>
                        <w:bottom w:val="none" w:sz="0" w:space="0" w:color="auto"/>
                        <w:right w:val="none" w:sz="0" w:space="0" w:color="auto"/>
                      </w:divBdr>
                    </w:div>
                    <w:div w:id="1417896182">
                      <w:marLeft w:val="0"/>
                      <w:marRight w:val="2"/>
                      <w:marTop w:val="0"/>
                      <w:marBottom w:val="0"/>
                      <w:divBdr>
                        <w:top w:val="none" w:sz="0" w:space="0" w:color="auto"/>
                        <w:left w:val="none" w:sz="0" w:space="0" w:color="auto"/>
                        <w:bottom w:val="none" w:sz="0" w:space="0" w:color="auto"/>
                        <w:right w:val="none" w:sz="0" w:space="0" w:color="auto"/>
                      </w:divBdr>
                    </w:div>
                  </w:divsChild>
                </w:div>
                <w:div w:id="671448211">
                  <w:marLeft w:val="4650"/>
                  <w:marRight w:val="4800"/>
                  <w:marTop w:val="0"/>
                  <w:marBottom w:val="0"/>
                  <w:divBdr>
                    <w:top w:val="none" w:sz="0" w:space="0" w:color="auto"/>
                    <w:left w:val="none" w:sz="0" w:space="0" w:color="auto"/>
                    <w:bottom w:val="none" w:sz="0" w:space="0" w:color="auto"/>
                    <w:right w:val="none" w:sz="0" w:space="0" w:color="auto"/>
                  </w:divBdr>
                  <w:divsChild>
                    <w:div w:id="1213618350">
                      <w:marLeft w:val="0"/>
                      <w:marRight w:val="0"/>
                      <w:marTop w:val="0"/>
                      <w:marBottom w:val="0"/>
                      <w:divBdr>
                        <w:top w:val="none" w:sz="0" w:space="0" w:color="auto"/>
                        <w:left w:val="none" w:sz="0" w:space="0" w:color="auto"/>
                        <w:bottom w:val="none" w:sz="0" w:space="0" w:color="auto"/>
                        <w:right w:val="none" w:sz="0" w:space="0" w:color="auto"/>
                      </w:divBdr>
                      <w:divsChild>
                        <w:div w:id="20703787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77246056">
      <w:bodyDiv w:val="1"/>
      <w:marLeft w:val="0"/>
      <w:marRight w:val="0"/>
      <w:marTop w:val="0"/>
      <w:marBottom w:val="0"/>
      <w:divBdr>
        <w:top w:val="none" w:sz="0" w:space="0" w:color="auto"/>
        <w:left w:val="none" w:sz="0" w:space="0" w:color="auto"/>
        <w:bottom w:val="none" w:sz="0" w:space="0" w:color="auto"/>
        <w:right w:val="none" w:sz="0" w:space="0" w:color="auto"/>
      </w:divBdr>
      <w:divsChild>
        <w:div w:id="1342509975">
          <w:marLeft w:val="0"/>
          <w:marRight w:val="0"/>
          <w:marTop w:val="0"/>
          <w:marBottom w:val="0"/>
          <w:divBdr>
            <w:top w:val="none" w:sz="0" w:space="0" w:color="auto"/>
            <w:left w:val="none" w:sz="0" w:space="0" w:color="auto"/>
            <w:bottom w:val="none" w:sz="0" w:space="0" w:color="auto"/>
            <w:right w:val="none" w:sz="0" w:space="0" w:color="auto"/>
          </w:divBdr>
          <w:divsChild>
            <w:div w:id="378093531">
              <w:marLeft w:val="0"/>
              <w:marRight w:val="0"/>
              <w:marTop w:val="0"/>
              <w:marBottom w:val="0"/>
              <w:divBdr>
                <w:top w:val="none" w:sz="0" w:space="0" w:color="auto"/>
                <w:left w:val="none" w:sz="0" w:space="0" w:color="auto"/>
                <w:bottom w:val="none" w:sz="0" w:space="0" w:color="auto"/>
                <w:right w:val="none" w:sz="0" w:space="0" w:color="auto"/>
              </w:divBdr>
              <w:divsChild>
                <w:div w:id="946931740">
                  <w:marLeft w:val="0"/>
                  <w:marRight w:val="0"/>
                  <w:marTop w:val="0"/>
                  <w:marBottom w:val="0"/>
                  <w:divBdr>
                    <w:top w:val="none" w:sz="0" w:space="0" w:color="auto"/>
                    <w:left w:val="none" w:sz="0" w:space="0" w:color="auto"/>
                    <w:bottom w:val="none" w:sz="0" w:space="0" w:color="auto"/>
                    <w:right w:val="none" w:sz="0" w:space="0" w:color="auto"/>
                  </w:divBdr>
                  <w:divsChild>
                    <w:div w:id="492835349">
                      <w:marLeft w:val="0"/>
                      <w:marRight w:val="0"/>
                      <w:marTop w:val="0"/>
                      <w:marBottom w:val="0"/>
                      <w:divBdr>
                        <w:top w:val="none" w:sz="0" w:space="0" w:color="auto"/>
                        <w:left w:val="none" w:sz="0" w:space="0" w:color="auto"/>
                        <w:bottom w:val="none" w:sz="0" w:space="0" w:color="auto"/>
                        <w:right w:val="none" w:sz="0" w:space="0" w:color="auto"/>
                      </w:divBdr>
                      <w:divsChild>
                        <w:div w:id="1644697682">
                          <w:marLeft w:val="0"/>
                          <w:marRight w:val="0"/>
                          <w:marTop w:val="0"/>
                          <w:marBottom w:val="0"/>
                          <w:divBdr>
                            <w:top w:val="none" w:sz="0" w:space="0" w:color="auto"/>
                            <w:left w:val="none" w:sz="0" w:space="0" w:color="auto"/>
                            <w:bottom w:val="none" w:sz="0" w:space="0" w:color="auto"/>
                            <w:right w:val="none" w:sz="0" w:space="0" w:color="auto"/>
                          </w:divBdr>
                          <w:divsChild>
                            <w:div w:id="1319111467">
                              <w:marLeft w:val="0"/>
                              <w:marRight w:val="0"/>
                              <w:marTop w:val="0"/>
                              <w:marBottom w:val="0"/>
                              <w:divBdr>
                                <w:top w:val="none" w:sz="0" w:space="0" w:color="auto"/>
                                <w:left w:val="none" w:sz="0" w:space="0" w:color="auto"/>
                                <w:bottom w:val="none" w:sz="0" w:space="0" w:color="auto"/>
                                <w:right w:val="none" w:sz="0" w:space="0" w:color="auto"/>
                              </w:divBdr>
                            </w:div>
                            <w:div w:id="1722707358">
                              <w:marLeft w:val="0"/>
                              <w:marRight w:val="0"/>
                              <w:marTop w:val="0"/>
                              <w:marBottom w:val="0"/>
                              <w:divBdr>
                                <w:top w:val="none" w:sz="0" w:space="0" w:color="auto"/>
                                <w:left w:val="none" w:sz="0" w:space="0" w:color="auto"/>
                                <w:bottom w:val="none" w:sz="0" w:space="0" w:color="auto"/>
                                <w:right w:val="none" w:sz="0" w:space="0" w:color="auto"/>
                              </w:divBdr>
                              <w:divsChild>
                                <w:div w:id="1618877507">
                                  <w:marLeft w:val="0"/>
                                  <w:marRight w:val="0"/>
                                  <w:marTop w:val="0"/>
                                  <w:marBottom w:val="0"/>
                                  <w:divBdr>
                                    <w:top w:val="none" w:sz="0" w:space="0" w:color="auto"/>
                                    <w:left w:val="none" w:sz="0" w:space="0" w:color="auto"/>
                                    <w:bottom w:val="none" w:sz="0" w:space="0" w:color="auto"/>
                                    <w:right w:val="none" w:sz="0" w:space="0" w:color="auto"/>
                                  </w:divBdr>
                                  <w:divsChild>
                                    <w:div w:id="1477526729">
                                      <w:marLeft w:val="0"/>
                                      <w:marRight w:val="0"/>
                                      <w:marTop w:val="0"/>
                                      <w:marBottom w:val="0"/>
                                      <w:divBdr>
                                        <w:top w:val="none" w:sz="0" w:space="0" w:color="auto"/>
                                        <w:left w:val="none" w:sz="0" w:space="0" w:color="auto"/>
                                        <w:bottom w:val="none" w:sz="0" w:space="0" w:color="auto"/>
                                        <w:right w:val="none" w:sz="0" w:space="0" w:color="auto"/>
                                      </w:divBdr>
                                      <w:divsChild>
                                        <w:div w:id="709034947">
                                          <w:marLeft w:val="0"/>
                                          <w:marRight w:val="0"/>
                                          <w:marTop w:val="0"/>
                                          <w:marBottom w:val="75"/>
                                          <w:divBdr>
                                            <w:top w:val="none" w:sz="0" w:space="0" w:color="auto"/>
                                            <w:left w:val="none" w:sz="0" w:space="0" w:color="auto"/>
                                            <w:bottom w:val="none" w:sz="0" w:space="0" w:color="auto"/>
                                            <w:right w:val="none" w:sz="0" w:space="0" w:color="auto"/>
                                          </w:divBdr>
                                          <w:divsChild>
                                            <w:div w:id="1218199088">
                                              <w:marLeft w:val="0"/>
                                              <w:marRight w:val="0"/>
                                              <w:marTop w:val="0"/>
                                              <w:marBottom w:val="0"/>
                                              <w:divBdr>
                                                <w:top w:val="none" w:sz="0" w:space="0" w:color="auto"/>
                                                <w:left w:val="none" w:sz="0" w:space="0" w:color="auto"/>
                                                <w:bottom w:val="none" w:sz="0" w:space="0" w:color="auto"/>
                                                <w:right w:val="none" w:sz="0" w:space="0" w:color="auto"/>
                                              </w:divBdr>
                                              <w:divsChild>
                                                <w:div w:id="452098781">
                                                  <w:marLeft w:val="0"/>
                                                  <w:marRight w:val="0"/>
                                                  <w:marTop w:val="0"/>
                                                  <w:marBottom w:val="0"/>
                                                  <w:divBdr>
                                                    <w:top w:val="none" w:sz="0" w:space="0" w:color="auto"/>
                                                    <w:left w:val="none" w:sz="0" w:space="0" w:color="auto"/>
                                                    <w:bottom w:val="none" w:sz="0" w:space="0" w:color="auto"/>
                                                    <w:right w:val="none" w:sz="0" w:space="0" w:color="auto"/>
                                                  </w:divBdr>
                                                </w:div>
                                                <w:div w:id="485785537">
                                                  <w:marLeft w:val="0"/>
                                                  <w:marRight w:val="0"/>
                                                  <w:marTop w:val="0"/>
                                                  <w:marBottom w:val="0"/>
                                                  <w:divBdr>
                                                    <w:top w:val="none" w:sz="0" w:space="0" w:color="auto"/>
                                                    <w:left w:val="none" w:sz="0" w:space="0" w:color="auto"/>
                                                    <w:bottom w:val="none" w:sz="0" w:space="0" w:color="auto"/>
                                                    <w:right w:val="none" w:sz="0" w:space="0" w:color="auto"/>
                                                  </w:divBdr>
                                                </w:div>
                                                <w:div w:id="1024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9988">
                                          <w:marLeft w:val="0"/>
                                          <w:marRight w:val="0"/>
                                          <w:marTop w:val="0"/>
                                          <w:marBottom w:val="75"/>
                                          <w:divBdr>
                                            <w:top w:val="none" w:sz="0" w:space="0" w:color="auto"/>
                                            <w:left w:val="none" w:sz="0" w:space="0" w:color="auto"/>
                                            <w:bottom w:val="none" w:sz="0" w:space="0" w:color="auto"/>
                                            <w:right w:val="none" w:sz="0" w:space="0" w:color="auto"/>
                                          </w:divBdr>
                                          <w:divsChild>
                                            <w:div w:id="1612320981">
                                              <w:marLeft w:val="0"/>
                                              <w:marRight w:val="0"/>
                                              <w:marTop w:val="0"/>
                                              <w:marBottom w:val="0"/>
                                              <w:divBdr>
                                                <w:top w:val="none" w:sz="0" w:space="0" w:color="auto"/>
                                                <w:left w:val="none" w:sz="0" w:space="0" w:color="auto"/>
                                                <w:bottom w:val="none" w:sz="0" w:space="0" w:color="auto"/>
                                                <w:right w:val="none" w:sz="0" w:space="0" w:color="auto"/>
                                              </w:divBdr>
                                            </w:div>
                                          </w:divsChild>
                                        </w:div>
                                        <w:div w:id="1572812769">
                                          <w:marLeft w:val="0"/>
                                          <w:marRight w:val="0"/>
                                          <w:marTop w:val="0"/>
                                          <w:marBottom w:val="75"/>
                                          <w:divBdr>
                                            <w:top w:val="none" w:sz="0" w:space="0" w:color="auto"/>
                                            <w:left w:val="none" w:sz="0" w:space="0" w:color="auto"/>
                                            <w:bottom w:val="none" w:sz="0" w:space="0" w:color="auto"/>
                                            <w:right w:val="none" w:sz="0" w:space="0" w:color="auto"/>
                                          </w:divBdr>
                                          <w:divsChild>
                                            <w:div w:id="1005522628">
                                              <w:marLeft w:val="0"/>
                                              <w:marRight w:val="0"/>
                                              <w:marTop w:val="0"/>
                                              <w:marBottom w:val="0"/>
                                              <w:divBdr>
                                                <w:top w:val="none" w:sz="0" w:space="0" w:color="auto"/>
                                                <w:left w:val="none" w:sz="0" w:space="0" w:color="auto"/>
                                                <w:bottom w:val="none" w:sz="0" w:space="0" w:color="auto"/>
                                                <w:right w:val="none" w:sz="0" w:space="0" w:color="auto"/>
                                              </w:divBdr>
                                            </w:div>
                                          </w:divsChild>
                                        </w:div>
                                        <w:div w:id="1933584348">
                                          <w:marLeft w:val="0"/>
                                          <w:marRight w:val="0"/>
                                          <w:marTop w:val="0"/>
                                          <w:marBottom w:val="75"/>
                                          <w:divBdr>
                                            <w:top w:val="none" w:sz="0" w:space="0" w:color="auto"/>
                                            <w:left w:val="none" w:sz="0" w:space="0" w:color="auto"/>
                                            <w:bottom w:val="none" w:sz="0" w:space="0" w:color="auto"/>
                                            <w:right w:val="none" w:sz="0" w:space="0" w:color="auto"/>
                                          </w:divBdr>
                                          <w:divsChild>
                                            <w:div w:id="1065102208">
                                              <w:marLeft w:val="0"/>
                                              <w:marRight w:val="0"/>
                                              <w:marTop w:val="0"/>
                                              <w:marBottom w:val="0"/>
                                              <w:divBdr>
                                                <w:top w:val="none" w:sz="0" w:space="0" w:color="auto"/>
                                                <w:left w:val="none" w:sz="0" w:space="0" w:color="auto"/>
                                                <w:bottom w:val="none" w:sz="0" w:space="0" w:color="auto"/>
                                                <w:right w:val="none" w:sz="0" w:space="0" w:color="auto"/>
                                              </w:divBdr>
                                            </w:div>
                                          </w:divsChild>
                                        </w:div>
                                        <w:div w:id="1979608280">
                                          <w:marLeft w:val="0"/>
                                          <w:marRight w:val="0"/>
                                          <w:marTop w:val="0"/>
                                          <w:marBottom w:val="75"/>
                                          <w:divBdr>
                                            <w:top w:val="none" w:sz="0" w:space="0" w:color="auto"/>
                                            <w:left w:val="none" w:sz="0" w:space="0" w:color="auto"/>
                                            <w:bottom w:val="none" w:sz="0" w:space="0" w:color="auto"/>
                                            <w:right w:val="none" w:sz="0" w:space="0" w:color="auto"/>
                                          </w:divBdr>
                                          <w:divsChild>
                                            <w:div w:id="1827744334">
                                              <w:marLeft w:val="0"/>
                                              <w:marRight w:val="0"/>
                                              <w:marTop w:val="0"/>
                                              <w:marBottom w:val="0"/>
                                              <w:divBdr>
                                                <w:top w:val="none" w:sz="0" w:space="0" w:color="auto"/>
                                                <w:left w:val="none" w:sz="0" w:space="0" w:color="auto"/>
                                                <w:bottom w:val="none" w:sz="0" w:space="0" w:color="auto"/>
                                                <w:right w:val="none" w:sz="0" w:space="0" w:color="auto"/>
                                              </w:divBdr>
                                              <w:divsChild>
                                                <w:div w:id="1596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306151">
      <w:bodyDiv w:val="1"/>
      <w:marLeft w:val="0"/>
      <w:marRight w:val="0"/>
      <w:marTop w:val="0"/>
      <w:marBottom w:val="0"/>
      <w:divBdr>
        <w:top w:val="none" w:sz="0" w:space="0" w:color="auto"/>
        <w:left w:val="none" w:sz="0" w:space="0" w:color="auto"/>
        <w:bottom w:val="none" w:sz="0" w:space="0" w:color="auto"/>
        <w:right w:val="none" w:sz="0" w:space="0" w:color="auto"/>
      </w:divBdr>
      <w:divsChild>
        <w:div w:id="927663686">
          <w:marLeft w:val="0"/>
          <w:marRight w:val="0"/>
          <w:marTop w:val="0"/>
          <w:marBottom w:val="0"/>
          <w:divBdr>
            <w:top w:val="none" w:sz="0" w:space="0" w:color="auto"/>
            <w:left w:val="none" w:sz="0" w:space="0" w:color="auto"/>
            <w:bottom w:val="none" w:sz="0" w:space="0" w:color="auto"/>
            <w:right w:val="none" w:sz="0" w:space="0" w:color="auto"/>
          </w:divBdr>
          <w:divsChild>
            <w:div w:id="1619332228">
              <w:marLeft w:val="0"/>
              <w:marRight w:val="0"/>
              <w:marTop w:val="0"/>
              <w:marBottom w:val="0"/>
              <w:divBdr>
                <w:top w:val="none" w:sz="0" w:space="0" w:color="auto"/>
                <w:left w:val="none" w:sz="0" w:space="0" w:color="auto"/>
                <w:bottom w:val="none" w:sz="0" w:space="0" w:color="auto"/>
                <w:right w:val="none" w:sz="0" w:space="0" w:color="auto"/>
              </w:divBdr>
              <w:divsChild>
                <w:div w:id="795757596">
                  <w:marLeft w:val="0"/>
                  <w:marRight w:val="0"/>
                  <w:marTop w:val="0"/>
                  <w:marBottom w:val="0"/>
                  <w:divBdr>
                    <w:top w:val="none" w:sz="0" w:space="0" w:color="auto"/>
                    <w:left w:val="none" w:sz="0" w:space="0" w:color="auto"/>
                    <w:bottom w:val="none" w:sz="0" w:space="0" w:color="auto"/>
                    <w:right w:val="none" w:sz="0" w:space="0" w:color="auto"/>
                  </w:divBdr>
                  <w:divsChild>
                    <w:div w:id="15006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657">
      <w:bodyDiv w:val="1"/>
      <w:marLeft w:val="0"/>
      <w:marRight w:val="0"/>
      <w:marTop w:val="0"/>
      <w:marBottom w:val="0"/>
      <w:divBdr>
        <w:top w:val="none" w:sz="0" w:space="0" w:color="auto"/>
        <w:left w:val="none" w:sz="0" w:space="0" w:color="auto"/>
        <w:bottom w:val="none" w:sz="0" w:space="0" w:color="auto"/>
        <w:right w:val="none" w:sz="0" w:space="0" w:color="auto"/>
      </w:divBdr>
      <w:divsChild>
        <w:div w:id="248003944">
          <w:marLeft w:val="0"/>
          <w:marRight w:val="0"/>
          <w:marTop w:val="0"/>
          <w:marBottom w:val="0"/>
          <w:divBdr>
            <w:top w:val="none" w:sz="0" w:space="0" w:color="auto"/>
            <w:left w:val="none" w:sz="0" w:space="0" w:color="auto"/>
            <w:bottom w:val="none" w:sz="0" w:space="0" w:color="auto"/>
            <w:right w:val="none" w:sz="0" w:space="0" w:color="auto"/>
          </w:divBdr>
          <w:divsChild>
            <w:div w:id="1178689973">
              <w:marLeft w:val="0"/>
              <w:marRight w:val="0"/>
              <w:marTop w:val="0"/>
              <w:marBottom w:val="0"/>
              <w:divBdr>
                <w:top w:val="none" w:sz="0" w:space="0" w:color="auto"/>
                <w:left w:val="none" w:sz="0" w:space="0" w:color="auto"/>
                <w:bottom w:val="none" w:sz="0" w:space="0" w:color="auto"/>
                <w:right w:val="none" w:sz="0" w:space="0" w:color="auto"/>
              </w:divBdr>
              <w:divsChild>
                <w:div w:id="663822180">
                  <w:marLeft w:val="0"/>
                  <w:marRight w:val="0"/>
                  <w:marTop w:val="0"/>
                  <w:marBottom w:val="0"/>
                  <w:divBdr>
                    <w:top w:val="none" w:sz="0" w:space="0" w:color="auto"/>
                    <w:left w:val="none" w:sz="0" w:space="0" w:color="auto"/>
                    <w:bottom w:val="none" w:sz="0" w:space="0" w:color="auto"/>
                    <w:right w:val="none" w:sz="0" w:space="0" w:color="auto"/>
                  </w:divBdr>
                  <w:divsChild>
                    <w:div w:id="1096287954">
                      <w:marLeft w:val="0"/>
                      <w:marRight w:val="0"/>
                      <w:marTop w:val="0"/>
                      <w:marBottom w:val="0"/>
                      <w:divBdr>
                        <w:top w:val="none" w:sz="0" w:space="0" w:color="auto"/>
                        <w:left w:val="none" w:sz="0" w:space="0" w:color="auto"/>
                        <w:bottom w:val="none" w:sz="0" w:space="0" w:color="auto"/>
                        <w:right w:val="none" w:sz="0" w:space="0" w:color="auto"/>
                      </w:divBdr>
                      <w:divsChild>
                        <w:div w:id="1461806112">
                          <w:marLeft w:val="0"/>
                          <w:marRight w:val="0"/>
                          <w:marTop w:val="0"/>
                          <w:marBottom w:val="0"/>
                          <w:divBdr>
                            <w:top w:val="none" w:sz="0" w:space="0" w:color="auto"/>
                            <w:left w:val="none" w:sz="0" w:space="0" w:color="auto"/>
                            <w:bottom w:val="none" w:sz="0" w:space="0" w:color="auto"/>
                            <w:right w:val="none" w:sz="0" w:space="0" w:color="auto"/>
                          </w:divBdr>
                          <w:divsChild>
                            <w:div w:id="1137647504">
                              <w:marLeft w:val="0"/>
                              <w:marRight w:val="0"/>
                              <w:marTop w:val="0"/>
                              <w:marBottom w:val="0"/>
                              <w:divBdr>
                                <w:top w:val="none" w:sz="0" w:space="0" w:color="auto"/>
                                <w:left w:val="none" w:sz="0" w:space="0" w:color="auto"/>
                                <w:bottom w:val="none" w:sz="0" w:space="0" w:color="auto"/>
                                <w:right w:val="none" w:sz="0" w:space="0" w:color="auto"/>
                              </w:divBdr>
                              <w:divsChild>
                                <w:div w:id="11589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2498">
      <w:bodyDiv w:val="1"/>
      <w:marLeft w:val="0"/>
      <w:marRight w:val="0"/>
      <w:marTop w:val="0"/>
      <w:marBottom w:val="0"/>
      <w:divBdr>
        <w:top w:val="none" w:sz="0" w:space="0" w:color="auto"/>
        <w:left w:val="none" w:sz="0" w:space="0" w:color="auto"/>
        <w:bottom w:val="none" w:sz="0" w:space="0" w:color="auto"/>
        <w:right w:val="none" w:sz="0" w:space="0" w:color="auto"/>
      </w:divBdr>
      <w:divsChild>
        <w:div w:id="569508349">
          <w:marLeft w:val="0"/>
          <w:marRight w:val="0"/>
          <w:marTop w:val="0"/>
          <w:marBottom w:val="0"/>
          <w:divBdr>
            <w:top w:val="none" w:sz="0" w:space="0" w:color="auto"/>
            <w:left w:val="none" w:sz="0" w:space="0" w:color="auto"/>
            <w:bottom w:val="none" w:sz="0" w:space="0" w:color="auto"/>
            <w:right w:val="none" w:sz="0" w:space="0" w:color="auto"/>
          </w:divBdr>
          <w:divsChild>
            <w:div w:id="1948001894">
              <w:marLeft w:val="0"/>
              <w:marRight w:val="0"/>
              <w:marTop w:val="0"/>
              <w:marBottom w:val="0"/>
              <w:divBdr>
                <w:top w:val="none" w:sz="0" w:space="0" w:color="auto"/>
                <w:left w:val="none" w:sz="0" w:space="0" w:color="auto"/>
                <w:bottom w:val="none" w:sz="0" w:space="0" w:color="auto"/>
                <w:right w:val="none" w:sz="0" w:space="0" w:color="auto"/>
              </w:divBdr>
              <w:divsChild>
                <w:div w:id="386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7108">
      <w:bodyDiv w:val="1"/>
      <w:marLeft w:val="0"/>
      <w:marRight w:val="0"/>
      <w:marTop w:val="0"/>
      <w:marBottom w:val="0"/>
      <w:divBdr>
        <w:top w:val="none" w:sz="0" w:space="0" w:color="auto"/>
        <w:left w:val="none" w:sz="0" w:space="0" w:color="auto"/>
        <w:bottom w:val="none" w:sz="0" w:space="0" w:color="auto"/>
        <w:right w:val="none" w:sz="0" w:space="0" w:color="auto"/>
      </w:divBdr>
      <w:divsChild>
        <w:div w:id="1983465166">
          <w:marLeft w:val="0"/>
          <w:marRight w:val="0"/>
          <w:marTop w:val="0"/>
          <w:marBottom w:val="0"/>
          <w:divBdr>
            <w:top w:val="none" w:sz="0" w:space="0" w:color="auto"/>
            <w:left w:val="none" w:sz="0" w:space="0" w:color="auto"/>
            <w:bottom w:val="none" w:sz="0" w:space="0" w:color="auto"/>
            <w:right w:val="none" w:sz="0" w:space="0" w:color="auto"/>
          </w:divBdr>
          <w:divsChild>
            <w:div w:id="802888028">
              <w:marLeft w:val="0"/>
              <w:marRight w:val="0"/>
              <w:marTop w:val="0"/>
              <w:marBottom w:val="0"/>
              <w:divBdr>
                <w:top w:val="none" w:sz="0" w:space="0" w:color="auto"/>
                <w:left w:val="none" w:sz="0" w:space="0" w:color="auto"/>
                <w:bottom w:val="none" w:sz="0" w:space="0" w:color="auto"/>
                <w:right w:val="none" w:sz="0" w:space="0" w:color="auto"/>
              </w:divBdr>
              <w:divsChild>
                <w:div w:id="1535581120">
                  <w:marLeft w:val="0"/>
                  <w:marRight w:val="0"/>
                  <w:marTop w:val="0"/>
                  <w:marBottom w:val="0"/>
                  <w:divBdr>
                    <w:top w:val="none" w:sz="0" w:space="0" w:color="auto"/>
                    <w:left w:val="none" w:sz="0" w:space="0" w:color="auto"/>
                    <w:bottom w:val="none" w:sz="0" w:space="0" w:color="auto"/>
                    <w:right w:val="none" w:sz="0" w:space="0" w:color="auto"/>
                  </w:divBdr>
                  <w:divsChild>
                    <w:div w:id="438185713">
                      <w:marLeft w:val="0"/>
                      <w:marRight w:val="0"/>
                      <w:marTop w:val="0"/>
                      <w:marBottom w:val="0"/>
                      <w:divBdr>
                        <w:top w:val="none" w:sz="0" w:space="0" w:color="auto"/>
                        <w:left w:val="none" w:sz="0" w:space="0" w:color="auto"/>
                        <w:bottom w:val="none" w:sz="0" w:space="0" w:color="auto"/>
                        <w:right w:val="none" w:sz="0" w:space="0" w:color="auto"/>
                      </w:divBdr>
                      <w:divsChild>
                        <w:div w:id="833421496">
                          <w:marLeft w:val="0"/>
                          <w:marRight w:val="0"/>
                          <w:marTop w:val="0"/>
                          <w:marBottom w:val="0"/>
                          <w:divBdr>
                            <w:top w:val="none" w:sz="0" w:space="0" w:color="auto"/>
                            <w:left w:val="none" w:sz="0" w:space="0" w:color="auto"/>
                            <w:bottom w:val="none" w:sz="0" w:space="0" w:color="auto"/>
                            <w:right w:val="none" w:sz="0" w:space="0" w:color="auto"/>
                          </w:divBdr>
                          <w:divsChild>
                            <w:div w:id="2080639868">
                              <w:marLeft w:val="0"/>
                              <w:marRight w:val="0"/>
                              <w:marTop w:val="0"/>
                              <w:marBottom w:val="0"/>
                              <w:divBdr>
                                <w:top w:val="none" w:sz="0" w:space="0" w:color="auto"/>
                                <w:left w:val="none" w:sz="0" w:space="0" w:color="auto"/>
                                <w:bottom w:val="none" w:sz="0" w:space="0" w:color="auto"/>
                                <w:right w:val="none" w:sz="0" w:space="0" w:color="auto"/>
                              </w:divBdr>
                              <w:divsChild>
                                <w:div w:id="1880242156">
                                  <w:marLeft w:val="0"/>
                                  <w:marRight w:val="0"/>
                                  <w:marTop w:val="0"/>
                                  <w:marBottom w:val="0"/>
                                  <w:divBdr>
                                    <w:top w:val="none" w:sz="0" w:space="0" w:color="auto"/>
                                    <w:left w:val="none" w:sz="0" w:space="0" w:color="auto"/>
                                    <w:bottom w:val="none" w:sz="0" w:space="0" w:color="auto"/>
                                    <w:right w:val="none" w:sz="0" w:space="0" w:color="auto"/>
                                  </w:divBdr>
                                  <w:divsChild>
                                    <w:div w:id="19772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ondetti@missouri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o124\Dropbox\Arg-Brz-Chi-Uru%20Tax%20burdens,%201950-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CL" sz="1200" b="0"/>
              <a:t>Figure 1. </a:t>
            </a:r>
            <a:r>
              <a:rPr lang="es-CL" sz="1200" b="0" i="1"/>
              <a:t>Evolution of the Tax Burden in Brazil </a:t>
            </a:r>
          </a:p>
          <a:p>
            <a:pPr>
              <a:defRPr/>
            </a:pPr>
            <a:r>
              <a:rPr lang="es-CL" sz="1200" b="0" i="1"/>
              <a:t>and the Southern Cone, 1950-2009 (% of GDP)</a:t>
            </a:r>
          </a:p>
        </c:rich>
      </c:tx>
      <c:layout>
        <c:manualLayout>
          <c:xMode val="edge"/>
          <c:yMode val="edge"/>
          <c:x val="0.2247694999663504"/>
          <c:y val="0.10120979310784532"/>
        </c:manualLayout>
      </c:layout>
      <c:overlay val="0"/>
      <c:spPr>
        <a:noFill/>
        <a:ln>
          <a:noFill/>
        </a:ln>
        <a:effectLst/>
      </c:spPr>
    </c:title>
    <c:autoTitleDeleted val="0"/>
    <c:plotArea>
      <c:layout>
        <c:manualLayout>
          <c:layoutTarget val="inner"/>
          <c:xMode val="edge"/>
          <c:yMode val="edge"/>
          <c:x val="9.9807692307692306E-2"/>
          <c:y val="6.8303101788389831E-2"/>
          <c:w val="0.8766880341880342"/>
          <c:h val="0.62539795126823727"/>
        </c:manualLayout>
      </c:layout>
      <c:lineChart>
        <c:grouping val="standard"/>
        <c:varyColors val="0"/>
        <c:ser>
          <c:idx val="0"/>
          <c:order val="0"/>
          <c:tx>
            <c:strRef>
              <c:f>Sheet1!$B$1</c:f>
              <c:strCache>
                <c:ptCount val="1"/>
                <c:pt idx="0">
                  <c:v>Argentina</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numRef>
              <c:f>Sheet1!$A$2:$A$61</c:f>
              <c:numCache>
                <c:formatCode>General</c:formatCode>
                <c:ptCount val="60"/>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numCache>
            </c:numRef>
          </c:cat>
          <c:val>
            <c:numRef>
              <c:f>Sheet1!$B$2:$B$61</c:f>
              <c:numCache>
                <c:formatCode>#,##0.00_ ;\-#,##0.00\ </c:formatCode>
                <c:ptCount val="60"/>
                <c:pt idx="0">
                  <c:v>17.457082704073446</c:v>
                </c:pt>
                <c:pt idx="1">
                  <c:v>17.490521421143296</c:v>
                </c:pt>
                <c:pt idx="2">
                  <c:v>17.746448980463466</c:v>
                </c:pt>
                <c:pt idx="3">
                  <c:v>17.737511763437077</c:v>
                </c:pt>
                <c:pt idx="4">
                  <c:v>18.160376670036438</c:v>
                </c:pt>
                <c:pt idx="5">
                  <c:v>17.663173664262384</c:v>
                </c:pt>
                <c:pt idx="6">
                  <c:v>16.523026029367756</c:v>
                </c:pt>
                <c:pt idx="7">
                  <c:v>14.305517133195277</c:v>
                </c:pt>
                <c:pt idx="8">
                  <c:v>12.923031586649728</c:v>
                </c:pt>
                <c:pt idx="9">
                  <c:v>11.029738854224764</c:v>
                </c:pt>
                <c:pt idx="10">
                  <c:v>14.077442503799709</c:v>
                </c:pt>
                <c:pt idx="11">
                  <c:v>14.740316434724983</c:v>
                </c:pt>
                <c:pt idx="12">
                  <c:v>13.572570165449797</c:v>
                </c:pt>
                <c:pt idx="13">
                  <c:v>14.591055647796047</c:v>
                </c:pt>
                <c:pt idx="14">
                  <c:v>13.3683750390706</c:v>
                </c:pt>
                <c:pt idx="15">
                  <c:v>14.388967853026696</c:v>
                </c:pt>
                <c:pt idx="16">
                  <c:v>16.3003813959292</c:v>
                </c:pt>
                <c:pt idx="17">
                  <c:v>19.076283218056368</c:v>
                </c:pt>
                <c:pt idx="18">
                  <c:v>18.939542777956671</c:v>
                </c:pt>
                <c:pt idx="19">
                  <c:v>18.32031487834422</c:v>
                </c:pt>
                <c:pt idx="20">
                  <c:v>19.154960683760685</c:v>
                </c:pt>
                <c:pt idx="21">
                  <c:v>16.743545142492216</c:v>
                </c:pt>
                <c:pt idx="22">
                  <c:v>14.725129791656597</c:v>
                </c:pt>
                <c:pt idx="23">
                  <c:v>16.334812891573065</c:v>
                </c:pt>
                <c:pt idx="24">
                  <c:v>18.995535446255072</c:v>
                </c:pt>
                <c:pt idx="25">
                  <c:v>12.153087985128511</c:v>
                </c:pt>
                <c:pt idx="26">
                  <c:v>13.94388632658182</c:v>
                </c:pt>
                <c:pt idx="27">
                  <c:v>16.86202838413319</c:v>
                </c:pt>
                <c:pt idx="28">
                  <c:v>17.454801006869793</c:v>
                </c:pt>
                <c:pt idx="29">
                  <c:v>16.625443508476149</c:v>
                </c:pt>
                <c:pt idx="30">
                  <c:v>17.678054427083332</c:v>
                </c:pt>
                <c:pt idx="31">
                  <c:v>15.232454107572918</c:v>
                </c:pt>
                <c:pt idx="32">
                  <c:v>13.1490710690097</c:v>
                </c:pt>
                <c:pt idx="33">
                  <c:v>11.679634703196347</c:v>
                </c:pt>
                <c:pt idx="34">
                  <c:v>12.441814595660754</c:v>
                </c:pt>
                <c:pt idx="35">
                  <c:v>17.53440150801131</c:v>
                </c:pt>
                <c:pt idx="36">
                  <c:v>18.020652838012442</c:v>
                </c:pt>
                <c:pt idx="37">
                  <c:v>16.610878481761336</c:v>
                </c:pt>
                <c:pt idx="38">
                  <c:v>15.101744971277304</c:v>
                </c:pt>
                <c:pt idx="39">
                  <c:v>15.328585146013694</c:v>
                </c:pt>
                <c:pt idx="40" formatCode="#,##0.0">
                  <c:v>13.381465841070236</c:v>
                </c:pt>
                <c:pt idx="41" formatCode="#,##0.0">
                  <c:v>15.068808949403035</c:v>
                </c:pt>
                <c:pt idx="42" formatCode="#,##0.0">
                  <c:v>17.891046900171265</c:v>
                </c:pt>
                <c:pt idx="43" formatCode="#,##0.0">
                  <c:v>18.063435577683862</c:v>
                </c:pt>
                <c:pt idx="44" formatCode="#,##0.0">
                  <c:v>17.926677969430244</c:v>
                </c:pt>
                <c:pt idx="45" formatCode="#,##0.0">
                  <c:v>16.928164279206488</c:v>
                </c:pt>
                <c:pt idx="46" formatCode="#,##0.0">
                  <c:v>16.493113504794273</c:v>
                </c:pt>
                <c:pt idx="47" formatCode="#,##0.0">
                  <c:v>17.229505345287592</c:v>
                </c:pt>
                <c:pt idx="48" formatCode="#,##0.0">
                  <c:v>17.572186123802936</c:v>
                </c:pt>
                <c:pt idx="49" formatCode="#,##0.0">
                  <c:v>17.684882725235099</c:v>
                </c:pt>
                <c:pt idx="50" formatCode="#,##0.0">
                  <c:v>17.947383327147346</c:v>
                </c:pt>
                <c:pt idx="51" formatCode="#,##0.0">
                  <c:v>17.494402931261572</c:v>
                </c:pt>
                <c:pt idx="52" formatCode="#,##0.0">
                  <c:v>16.627919782739685</c:v>
                </c:pt>
                <c:pt idx="53" formatCode="#,##0.0">
                  <c:v>19.572403939609966</c:v>
                </c:pt>
                <c:pt idx="54" formatCode="#,##0.0">
                  <c:v>22.017655575440443</c:v>
                </c:pt>
                <c:pt idx="55" formatCode="#,##0.0">
                  <c:v>22.078128942987856</c:v>
                </c:pt>
                <c:pt idx="56" formatCode="#,##0.0">
                  <c:v>22.204674537428311</c:v>
                </c:pt>
                <c:pt idx="57" formatCode="#,##0.0">
                  <c:v>23.022225768470143</c:v>
                </c:pt>
                <c:pt idx="58" formatCode="#,##0.0">
                  <c:v>24.73525487625211</c:v>
                </c:pt>
                <c:pt idx="59" formatCode="#,##0.0">
                  <c:v>25.573962867953863</c:v>
                </c:pt>
              </c:numCache>
            </c:numRef>
          </c:val>
          <c:smooth val="0"/>
        </c:ser>
        <c:ser>
          <c:idx val="1"/>
          <c:order val="1"/>
          <c:tx>
            <c:strRef>
              <c:f>Sheet1!$C$1</c:f>
              <c:strCache>
                <c:ptCount val="1"/>
                <c:pt idx="0">
                  <c:v>Brazil</c:v>
                </c:pt>
              </c:strCache>
            </c:strRef>
          </c:tx>
          <c:spPr>
            <a:ln w="28575" cap="rnd">
              <a:solidFill>
                <a:schemeClr val="accent2"/>
              </a:solidFill>
              <a:prstDash val="solid"/>
              <a:round/>
            </a:ln>
            <a:effectLst/>
          </c:spPr>
          <c:marker>
            <c:symbol val="none"/>
          </c:marker>
          <c:cat>
            <c:numRef>
              <c:f>Sheet1!$A$2:$A$61</c:f>
              <c:numCache>
                <c:formatCode>General</c:formatCode>
                <c:ptCount val="60"/>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numCache>
            </c:numRef>
          </c:cat>
          <c:val>
            <c:numRef>
              <c:f>Sheet1!$C$2:$C$61</c:f>
              <c:numCache>
                <c:formatCode>General</c:formatCode>
                <c:ptCount val="60"/>
                <c:pt idx="0">
                  <c:v>14.42</c:v>
                </c:pt>
                <c:pt idx="1">
                  <c:v>15.74</c:v>
                </c:pt>
                <c:pt idx="2">
                  <c:v>15.4</c:v>
                </c:pt>
                <c:pt idx="3">
                  <c:v>15.2</c:v>
                </c:pt>
                <c:pt idx="4">
                  <c:v>15.82</c:v>
                </c:pt>
                <c:pt idx="5">
                  <c:v>15.05</c:v>
                </c:pt>
                <c:pt idx="6">
                  <c:v>16.41</c:v>
                </c:pt>
                <c:pt idx="7">
                  <c:v>16.66</c:v>
                </c:pt>
                <c:pt idx="8">
                  <c:v>18.7</c:v>
                </c:pt>
                <c:pt idx="9">
                  <c:v>17.899999999999999</c:v>
                </c:pt>
                <c:pt idx="10">
                  <c:v>17.420000000000002</c:v>
                </c:pt>
                <c:pt idx="11">
                  <c:v>16.38</c:v>
                </c:pt>
                <c:pt idx="12">
                  <c:v>15.76</c:v>
                </c:pt>
                <c:pt idx="13">
                  <c:v>16.05</c:v>
                </c:pt>
                <c:pt idx="14">
                  <c:v>17.02</c:v>
                </c:pt>
                <c:pt idx="15">
                  <c:v>19.71</c:v>
                </c:pt>
                <c:pt idx="16">
                  <c:v>22.13</c:v>
                </c:pt>
                <c:pt idx="17">
                  <c:v>21.62</c:v>
                </c:pt>
                <c:pt idx="18">
                  <c:v>24.3</c:v>
                </c:pt>
                <c:pt idx="19">
                  <c:v>25.91</c:v>
                </c:pt>
                <c:pt idx="20">
                  <c:v>25.98</c:v>
                </c:pt>
                <c:pt idx="21">
                  <c:v>25.26</c:v>
                </c:pt>
                <c:pt idx="22">
                  <c:v>26.01</c:v>
                </c:pt>
                <c:pt idx="23">
                  <c:v>25.05</c:v>
                </c:pt>
                <c:pt idx="24">
                  <c:v>25.05</c:v>
                </c:pt>
                <c:pt idx="25">
                  <c:v>25.22</c:v>
                </c:pt>
                <c:pt idx="26">
                  <c:v>25.14</c:v>
                </c:pt>
                <c:pt idx="27">
                  <c:v>25.55</c:v>
                </c:pt>
                <c:pt idx="28">
                  <c:v>25.7</c:v>
                </c:pt>
                <c:pt idx="29">
                  <c:v>24.66</c:v>
                </c:pt>
                <c:pt idx="30">
                  <c:v>24.45</c:v>
                </c:pt>
                <c:pt idx="31">
                  <c:v>25.18</c:v>
                </c:pt>
                <c:pt idx="32">
                  <c:v>26.24</c:v>
                </c:pt>
                <c:pt idx="33">
                  <c:v>26.84</c:v>
                </c:pt>
                <c:pt idx="34">
                  <c:v>24.19</c:v>
                </c:pt>
                <c:pt idx="35">
                  <c:v>23.83</c:v>
                </c:pt>
                <c:pt idx="36">
                  <c:v>26.5</c:v>
                </c:pt>
                <c:pt idx="37">
                  <c:v>24.25</c:v>
                </c:pt>
                <c:pt idx="38">
                  <c:v>23.36</c:v>
                </c:pt>
                <c:pt idx="39">
                  <c:v>23.74</c:v>
                </c:pt>
                <c:pt idx="40" formatCode="#,##0.0">
                  <c:v>26.183519177714171</c:v>
                </c:pt>
                <c:pt idx="41" formatCode="#,##0.0">
                  <c:v>21.66828740440225</c:v>
                </c:pt>
                <c:pt idx="42" formatCode="#,##0.0">
                  <c:v>22.650452876688163</c:v>
                </c:pt>
                <c:pt idx="43" formatCode="#,##0.0">
                  <c:v>23.238668613379428</c:v>
                </c:pt>
                <c:pt idx="44" formatCode="#,##0.0">
                  <c:v>26.784049371912396</c:v>
                </c:pt>
                <c:pt idx="45" formatCode="#,##0.0">
                  <c:v>26.96243969618002</c:v>
                </c:pt>
                <c:pt idx="46" formatCode="#,##0.0">
                  <c:v>26.422876897432712</c:v>
                </c:pt>
                <c:pt idx="47" formatCode="#,##0.0">
                  <c:v>26.610434935719024</c:v>
                </c:pt>
                <c:pt idx="48" formatCode="#,##0.0">
                  <c:v>27.441096164630952</c:v>
                </c:pt>
                <c:pt idx="49" formatCode="#,##0.0">
                  <c:v>28.723387995200909</c:v>
                </c:pt>
                <c:pt idx="50" formatCode="#,##0.0">
                  <c:v>30.088038621964525</c:v>
                </c:pt>
                <c:pt idx="51" formatCode="#,##0.0">
                  <c:v>34.226643531459878</c:v>
                </c:pt>
                <c:pt idx="52" formatCode="#,##0.0">
                  <c:v>31.673392244334181</c:v>
                </c:pt>
                <c:pt idx="53" formatCode="#,##0.0">
                  <c:v>31.233015987822004</c:v>
                </c:pt>
                <c:pt idx="54" formatCode="#,##0.0">
                  <c:v>32.077524690768428</c:v>
                </c:pt>
                <c:pt idx="55" formatCode="#,##0.0">
                  <c:v>33.061379768652387</c:v>
                </c:pt>
                <c:pt idx="56" formatCode="#,##0.0">
                  <c:v>33.092643377207864</c:v>
                </c:pt>
                <c:pt idx="57" formatCode="#,##0.0">
                  <c:v>33.767904474668477</c:v>
                </c:pt>
                <c:pt idx="58" formatCode="#,##0.0">
                  <c:v>33.884205597205451</c:v>
                </c:pt>
                <c:pt idx="59" formatCode="#,##0.0">
                  <c:v>32.532715904695038</c:v>
                </c:pt>
              </c:numCache>
            </c:numRef>
          </c:val>
          <c:smooth val="0"/>
        </c:ser>
        <c:ser>
          <c:idx val="2"/>
          <c:order val="2"/>
          <c:tx>
            <c:strRef>
              <c:f>Sheet1!$D$1</c:f>
              <c:strCache>
                <c:ptCount val="1"/>
                <c:pt idx="0">
                  <c:v>Chile</c:v>
                </c:pt>
              </c:strCache>
            </c:strRef>
          </c:tx>
          <c:spPr>
            <a:ln w="28575" cap="rnd">
              <a:solidFill>
                <a:schemeClr val="accent3"/>
              </a:solidFill>
              <a:prstDash val="lgDash"/>
              <a:round/>
            </a:ln>
            <a:effectLst/>
          </c:spPr>
          <c:marker>
            <c:symbol val="star"/>
            <c:size val="5"/>
            <c:spPr>
              <a:noFill/>
              <a:ln w="9525">
                <a:solidFill>
                  <a:schemeClr val="accent3"/>
                </a:solidFill>
              </a:ln>
              <a:effectLst/>
            </c:spPr>
          </c:marker>
          <c:cat>
            <c:numRef>
              <c:f>Sheet1!$A$2:$A$61</c:f>
              <c:numCache>
                <c:formatCode>General</c:formatCode>
                <c:ptCount val="60"/>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numCache>
            </c:numRef>
          </c:cat>
          <c:val>
            <c:numRef>
              <c:f>Sheet1!$D$2:$D$61</c:f>
              <c:numCache>
                <c:formatCode>General</c:formatCode>
                <c:ptCount val="60"/>
                <c:pt idx="0">
                  <c:v>13.4671182</c:v>
                </c:pt>
                <c:pt idx="1">
                  <c:v>14.244056299999999</c:v>
                </c:pt>
                <c:pt idx="2">
                  <c:v>14.232656299999999</c:v>
                </c:pt>
                <c:pt idx="3">
                  <c:v>15.016412100000002</c:v>
                </c:pt>
                <c:pt idx="4">
                  <c:v>14.1493723</c:v>
                </c:pt>
                <c:pt idx="5">
                  <c:v>14.940502499999999</c:v>
                </c:pt>
                <c:pt idx="6">
                  <c:v>15.1741233</c:v>
                </c:pt>
                <c:pt idx="7">
                  <c:v>17.020618600000002</c:v>
                </c:pt>
                <c:pt idx="8">
                  <c:v>17.843185599999998</c:v>
                </c:pt>
                <c:pt idx="9">
                  <c:v>16.7189996</c:v>
                </c:pt>
                <c:pt idx="10">
                  <c:v>18.112961599999998</c:v>
                </c:pt>
                <c:pt idx="11">
                  <c:v>21.607180100000001</c:v>
                </c:pt>
                <c:pt idx="12">
                  <c:v>21.498849799999999</c:v>
                </c:pt>
                <c:pt idx="13">
                  <c:v>19.980358200000001</c:v>
                </c:pt>
                <c:pt idx="14">
                  <c:v>20.124143199999999</c:v>
                </c:pt>
                <c:pt idx="15">
                  <c:v>22.724308499999999</c:v>
                </c:pt>
                <c:pt idx="16">
                  <c:v>22.693683400000001</c:v>
                </c:pt>
                <c:pt idx="17">
                  <c:v>23.984878699999999</c:v>
                </c:pt>
                <c:pt idx="18">
                  <c:v>24.032735599999999</c:v>
                </c:pt>
                <c:pt idx="19">
                  <c:v>23.542514000000001</c:v>
                </c:pt>
                <c:pt idx="20">
                  <c:v>24.512127</c:v>
                </c:pt>
                <c:pt idx="21">
                  <c:v>28.379259600000001</c:v>
                </c:pt>
                <c:pt idx="22">
                  <c:v>27.279085299999998</c:v>
                </c:pt>
                <c:pt idx="23">
                  <c:v>25.148581199999999</c:v>
                </c:pt>
                <c:pt idx="24">
                  <c:v>23.6121795</c:v>
                </c:pt>
                <c:pt idx="25">
                  <c:v>28.737727699999997</c:v>
                </c:pt>
                <c:pt idx="26">
                  <c:v>24.9923562</c:v>
                </c:pt>
                <c:pt idx="27">
                  <c:v>19.602130000000002</c:v>
                </c:pt>
                <c:pt idx="28">
                  <c:v>23.213063300000002</c:v>
                </c:pt>
                <c:pt idx="29">
                  <c:v>24.3511849</c:v>
                </c:pt>
                <c:pt idx="30">
                  <c:v>25.900550100000004</c:v>
                </c:pt>
                <c:pt idx="31">
                  <c:v>25.548727700000001</c:v>
                </c:pt>
                <c:pt idx="32">
                  <c:v>24.392636299999999</c:v>
                </c:pt>
                <c:pt idx="33">
                  <c:v>22.653425599999998</c:v>
                </c:pt>
                <c:pt idx="34">
                  <c:v>20.940772599999999</c:v>
                </c:pt>
                <c:pt idx="35">
                  <c:v>21.869542500000001</c:v>
                </c:pt>
                <c:pt idx="36">
                  <c:v>21.663906000000001</c:v>
                </c:pt>
                <c:pt idx="37">
                  <c:v>20.0965746</c:v>
                </c:pt>
                <c:pt idx="38">
                  <c:v>17.0903095</c:v>
                </c:pt>
                <c:pt idx="39">
                  <c:v>16.477357099999999</c:v>
                </c:pt>
                <c:pt idx="40" formatCode="#,##0.0">
                  <c:v>14.899777864046351</c:v>
                </c:pt>
                <c:pt idx="41" formatCode="#,##0.0">
                  <c:v>16.660060703218551</c:v>
                </c:pt>
                <c:pt idx="42" formatCode="#,##0.0">
                  <c:v>17.337950729125883</c:v>
                </c:pt>
                <c:pt idx="43" formatCode="#,##0.0">
                  <c:v>18.043642502669403</c:v>
                </c:pt>
                <c:pt idx="44" formatCode="#,##0.0">
                  <c:v>17.381157115525195</c:v>
                </c:pt>
                <c:pt idx="45" formatCode="#,##0.0">
                  <c:v>16.884371885948781</c:v>
                </c:pt>
                <c:pt idx="46" formatCode="#,##0.0">
                  <c:v>18.269787569968589</c:v>
                </c:pt>
                <c:pt idx="47" formatCode="#,##0.0">
                  <c:v>18.017362262359025</c:v>
                </c:pt>
                <c:pt idx="48" formatCode="#,##0.0">
                  <c:v>18.122067457074305</c:v>
                </c:pt>
                <c:pt idx="49" formatCode="#,##0.0">
                  <c:v>17.624645080048225</c:v>
                </c:pt>
                <c:pt idx="50" formatCode="#,##0.0">
                  <c:v>18.2</c:v>
                </c:pt>
                <c:pt idx="51" formatCode="#,##0.0">
                  <c:v>18.600000000000001</c:v>
                </c:pt>
                <c:pt idx="52" formatCode="#,##0.0">
                  <c:v>18.600000000000001</c:v>
                </c:pt>
                <c:pt idx="53" formatCode="#,##0.0">
                  <c:v>17.899999999999999</c:v>
                </c:pt>
                <c:pt idx="54" formatCode="#,##0.0">
                  <c:v>17.5</c:v>
                </c:pt>
                <c:pt idx="55" formatCode="#,##0.0">
                  <c:v>18.7</c:v>
                </c:pt>
                <c:pt idx="56" formatCode="#,##0.0">
                  <c:v>18.600000000000001</c:v>
                </c:pt>
                <c:pt idx="57" formatCode="#,##0.0">
                  <c:v>20.399999999999999</c:v>
                </c:pt>
                <c:pt idx="58" formatCode="#,##0.0">
                  <c:v>20.2</c:v>
                </c:pt>
                <c:pt idx="59" formatCode="#,##0.0">
                  <c:v>16.600000000000001</c:v>
                </c:pt>
              </c:numCache>
            </c:numRef>
          </c:val>
          <c:smooth val="0"/>
        </c:ser>
        <c:ser>
          <c:idx val="3"/>
          <c:order val="3"/>
          <c:tx>
            <c:strRef>
              <c:f>Sheet1!$E$1</c:f>
              <c:strCache>
                <c:ptCount val="1"/>
                <c:pt idx="0">
                  <c:v>Uruguay</c:v>
                </c:pt>
              </c:strCache>
            </c:strRef>
          </c:tx>
          <c:spPr>
            <a:ln w="28575" cap="sq">
              <a:solidFill>
                <a:schemeClr val="accent4"/>
              </a:solidFill>
              <a:prstDash val="sysDot"/>
              <a:round/>
            </a:ln>
            <a:effectLst/>
          </c:spPr>
          <c:marker>
            <c:symbol val="none"/>
          </c:marker>
          <c:cat>
            <c:numRef>
              <c:f>Sheet1!$A$2:$A$61</c:f>
              <c:numCache>
                <c:formatCode>General</c:formatCode>
                <c:ptCount val="60"/>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numCache>
            </c:numRef>
          </c:cat>
          <c:val>
            <c:numRef>
              <c:f>Sheet1!$E$2:$E$61</c:f>
              <c:numCache>
                <c:formatCode>General</c:formatCode>
                <c:ptCount val="60"/>
                <c:pt idx="0">
                  <c:v>19.7</c:v>
                </c:pt>
                <c:pt idx="1">
                  <c:v>19.93</c:v>
                </c:pt>
                <c:pt idx="2">
                  <c:v>18.52</c:v>
                </c:pt>
                <c:pt idx="3">
                  <c:v>18.46</c:v>
                </c:pt>
                <c:pt idx="4">
                  <c:v>20.82</c:v>
                </c:pt>
                <c:pt idx="5">
                  <c:v>20.51</c:v>
                </c:pt>
                <c:pt idx="6">
                  <c:v>20.46</c:v>
                </c:pt>
                <c:pt idx="7">
                  <c:v>19.940000000000001</c:v>
                </c:pt>
                <c:pt idx="8">
                  <c:v>20.7</c:v>
                </c:pt>
                <c:pt idx="9">
                  <c:v>19.41</c:v>
                </c:pt>
                <c:pt idx="10">
                  <c:v>21.03</c:v>
                </c:pt>
                <c:pt idx="11">
                  <c:v>24.05</c:v>
                </c:pt>
                <c:pt idx="12">
                  <c:v>24.1</c:v>
                </c:pt>
                <c:pt idx="13">
                  <c:v>24.15</c:v>
                </c:pt>
                <c:pt idx="14">
                  <c:v>23.48</c:v>
                </c:pt>
                <c:pt idx="15">
                  <c:v>20.61</c:v>
                </c:pt>
                <c:pt idx="16">
                  <c:v>21.82</c:v>
                </c:pt>
                <c:pt idx="17">
                  <c:v>20.75</c:v>
                </c:pt>
                <c:pt idx="18">
                  <c:v>21.39</c:v>
                </c:pt>
                <c:pt idx="19">
                  <c:v>21.73</c:v>
                </c:pt>
                <c:pt idx="20">
                  <c:v>23.95</c:v>
                </c:pt>
                <c:pt idx="21">
                  <c:v>24.87</c:v>
                </c:pt>
                <c:pt idx="22">
                  <c:v>22.12</c:v>
                </c:pt>
                <c:pt idx="23">
                  <c:v>22.06</c:v>
                </c:pt>
                <c:pt idx="24">
                  <c:v>21.83</c:v>
                </c:pt>
                <c:pt idx="25">
                  <c:v>19.670000000000002</c:v>
                </c:pt>
                <c:pt idx="26">
                  <c:v>21.64</c:v>
                </c:pt>
                <c:pt idx="27">
                  <c:v>22.78</c:v>
                </c:pt>
                <c:pt idx="28">
                  <c:v>21.92</c:v>
                </c:pt>
                <c:pt idx="29">
                  <c:v>20.25</c:v>
                </c:pt>
                <c:pt idx="30">
                  <c:v>22.44</c:v>
                </c:pt>
                <c:pt idx="31">
                  <c:v>23.34</c:v>
                </c:pt>
                <c:pt idx="32">
                  <c:v>21.36</c:v>
                </c:pt>
                <c:pt idx="33">
                  <c:v>21.69</c:v>
                </c:pt>
                <c:pt idx="34">
                  <c:v>19.579999999999998</c:v>
                </c:pt>
                <c:pt idx="35">
                  <c:v>21.72</c:v>
                </c:pt>
                <c:pt idx="36">
                  <c:v>22.78</c:v>
                </c:pt>
                <c:pt idx="37">
                  <c:v>22.31</c:v>
                </c:pt>
                <c:pt idx="38">
                  <c:v>22.54</c:v>
                </c:pt>
                <c:pt idx="39">
                  <c:v>21.3</c:v>
                </c:pt>
                <c:pt idx="40" formatCode="#,##0.0">
                  <c:v>20.883899319708579</c:v>
                </c:pt>
                <c:pt idx="41" formatCode="#,##0.0">
                  <c:v>21.507120042274821</c:v>
                </c:pt>
                <c:pt idx="42" formatCode="#,##0.0">
                  <c:v>22.899268841699833</c:v>
                </c:pt>
                <c:pt idx="43" formatCode="#,##0.0">
                  <c:v>22.091728965772479</c:v>
                </c:pt>
                <c:pt idx="44" formatCode="#,##0.0">
                  <c:v>21.815618321054139</c:v>
                </c:pt>
                <c:pt idx="45" formatCode="#,##0.0">
                  <c:v>21.764910223104462</c:v>
                </c:pt>
                <c:pt idx="46" formatCode="#,##0.0">
                  <c:v>21.755326573652333</c:v>
                </c:pt>
                <c:pt idx="47" formatCode="#,##0.0">
                  <c:v>22.249525975431403</c:v>
                </c:pt>
                <c:pt idx="48" formatCode="#,##0.0">
                  <c:v>22.770167697899463</c:v>
                </c:pt>
                <c:pt idx="49" formatCode="#,##0.0">
                  <c:v>22.70925253105419</c:v>
                </c:pt>
                <c:pt idx="50">
                  <c:v>25</c:v>
                </c:pt>
                <c:pt idx="51">
                  <c:v>25</c:v>
                </c:pt>
                <c:pt idx="52">
                  <c:v>23.8</c:v>
                </c:pt>
                <c:pt idx="53">
                  <c:v>24</c:v>
                </c:pt>
                <c:pt idx="54">
                  <c:v>24.1</c:v>
                </c:pt>
                <c:pt idx="55">
                  <c:v>25.2</c:v>
                </c:pt>
                <c:pt idx="56">
                  <c:v>26.5</c:v>
                </c:pt>
                <c:pt idx="57">
                  <c:v>26.5</c:v>
                </c:pt>
                <c:pt idx="58">
                  <c:v>27.7</c:v>
                </c:pt>
                <c:pt idx="59">
                  <c:v>28.5</c:v>
                </c:pt>
              </c:numCache>
            </c:numRef>
          </c:val>
          <c:smooth val="0"/>
        </c:ser>
        <c:dLbls>
          <c:showLegendKey val="0"/>
          <c:showVal val="0"/>
          <c:showCatName val="0"/>
          <c:showSerName val="0"/>
          <c:showPercent val="0"/>
          <c:showBubbleSize val="0"/>
        </c:dLbls>
        <c:marker val="1"/>
        <c:smooth val="0"/>
        <c:axId val="624770760"/>
        <c:axId val="624772720"/>
      </c:lineChart>
      <c:catAx>
        <c:axId val="62477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24772720"/>
        <c:crosses val="autoZero"/>
        <c:auto val="1"/>
        <c:lblAlgn val="ctr"/>
        <c:lblOffset val="100"/>
        <c:noMultiLvlLbl val="0"/>
      </c:catAx>
      <c:valAx>
        <c:axId val="624772720"/>
        <c:scaling>
          <c:orientation val="minMax"/>
          <c:min val="10"/>
        </c:scaling>
        <c:delete val="0"/>
        <c:axPos val="l"/>
        <c:numFmt formatCode="#,##0.00_ ;\-#,##0.00\ " sourceLinked="1"/>
        <c:majorTickMark val="none"/>
        <c:minorTickMark val="none"/>
        <c:tickLblPos val="nextTo"/>
        <c:spPr>
          <a:noFill/>
          <a:ln>
            <a:noFill/>
          </a:ln>
          <a:effectLst/>
        </c:spPr>
        <c:txPr>
          <a:bodyPr rot="-60000000" vert="horz"/>
          <a:lstStyle/>
          <a:p>
            <a:pPr>
              <a:defRPr/>
            </a:pPr>
            <a:endParaRPr lang="en-US"/>
          </a:p>
        </c:txPr>
        <c:crossAx val="624770760"/>
        <c:crosses val="autoZero"/>
        <c:crossBetween val="between"/>
      </c:valAx>
      <c:spPr>
        <a:noFill/>
        <a:ln>
          <a:solidFill>
            <a:schemeClr val="accent3"/>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7309-6F33-4BE0-A353-0C453C4C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11163</Words>
  <Characters>63634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ChpaAdm</dc:creator>
  <cp:lastModifiedBy>Ondetti, Gabriel A</cp:lastModifiedBy>
  <cp:revision>4</cp:revision>
  <cp:lastPrinted>2017-02-13T22:44:00Z</cp:lastPrinted>
  <dcterms:created xsi:type="dcterms:W3CDTF">2017-02-13T22:20:00Z</dcterms:created>
  <dcterms:modified xsi:type="dcterms:W3CDTF">2017-02-13T22:46:00Z</dcterms:modified>
</cp:coreProperties>
</file>